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E4F5F" w14:textId="77777777" w:rsidR="000B554E" w:rsidRDefault="00000000">
      <w:pPr>
        <w:keepNext/>
        <w:ind w:firstLine="420"/>
        <w:jc w:val="both"/>
        <w:rPr>
          <w:lang w:eastAsia="zh-CN"/>
        </w:rPr>
      </w:pPr>
      <w:r>
        <w:rPr>
          <w:rFonts w:cs="Times New Roman"/>
          <w:b/>
          <w:lang w:eastAsia="zh-CN"/>
        </w:rPr>
        <w:t>基于双圆柱连续厚度调制的</w:t>
      </w:r>
      <w:r>
        <w:rPr>
          <w:rFonts w:cs="Times New Roman"/>
          <w:b/>
          <w:lang w:eastAsia="zh-CN"/>
        </w:rPr>
        <w:t>X</w:t>
      </w:r>
      <w:r>
        <w:rPr>
          <w:rFonts w:cs="Times New Roman"/>
          <w:b/>
          <w:lang w:eastAsia="zh-CN"/>
        </w:rPr>
        <w:t>射线管焦点检测方法</w:t>
      </w:r>
    </w:p>
    <w:p w14:paraId="7507B737" w14:textId="77777777" w:rsidR="000B554E" w:rsidRDefault="00000000">
      <w:pPr>
        <w:jc w:val="both"/>
        <w:rPr>
          <w:lang w:eastAsia="zh-CN"/>
        </w:rPr>
      </w:pPr>
      <w:r>
        <w:rPr>
          <w:rFonts w:cs="Times New Roman"/>
          <w:b/>
          <w:lang w:eastAsia="zh-CN"/>
        </w:rPr>
        <w:t>摘要：</w:t>
      </w:r>
      <w:r w:rsidR="00144613">
        <w:rPr>
          <w:rFonts w:cs="Times New Roman"/>
          <w:lang w:eastAsia="zh-CN"/>
        </w:rPr>
        <w:t>为降低传统狭缝法对微小开口加工和精密装调的依赖，提出一种基于双圆柱连续厚度调制的</w:t>
      </w:r>
      <w:r w:rsidR="00144613">
        <w:rPr>
          <w:rFonts w:cs="Times New Roman"/>
          <w:lang w:eastAsia="zh-CN"/>
        </w:rPr>
        <w:t>X</w:t>
      </w:r>
      <w:r w:rsidR="00144613">
        <w:rPr>
          <w:rFonts w:cs="Times New Roman"/>
          <w:lang w:eastAsia="zh-CN"/>
        </w:rPr>
        <w:t>射线管焦点检测方法。两根等半径圆柱平行布置后，接触区附近</w:t>
      </w:r>
      <w:r w:rsidR="00144613">
        <w:rPr>
          <w:rFonts w:cs="Times New Roman" w:hint="eastAsia"/>
          <w:lang w:eastAsia="zh-CN"/>
        </w:rPr>
        <w:t>材料厚度产生对称非线性变化。通过计算焦点</w:t>
      </w:r>
      <w:proofErr w:type="gramStart"/>
      <w:r w:rsidR="00144613">
        <w:rPr>
          <w:rFonts w:cs="Times New Roman" w:hint="eastAsia"/>
          <w:lang w:eastAsia="zh-CN"/>
        </w:rPr>
        <w:t>所有点</w:t>
      </w:r>
      <w:proofErr w:type="gramEnd"/>
      <w:r w:rsidR="00144613">
        <w:rPr>
          <w:rFonts w:cs="Times New Roman" w:hint="eastAsia"/>
          <w:lang w:eastAsia="zh-CN"/>
        </w:rPr>
        <w:t>区域对探测器平面各区域方向发射点</w:t>
      </w:r>
      <w:r w:rsidR="00144613">
        <w:rPr>
          <w:rFonts w:cs="Times New Roman" w:hint="eastAsia"/>
          <w:lang w:eastAsia="zh-CN"/>
        </w:rPr>
        <w:t>X</w:t>
      </w:r>
      <w:r w:rsidR="00144613">
        <w:rPr>
          <w:rFonts w:cs="Times New Roman" w:hint="eastAsia"/>
          <w:lang w:eastAsia="zh-CN"/>
        </w:rPr>
        <w:t>射线</w:t>
      </w:r>
      <w:r w:rsidR="00144613">
        <w:rPr>
          <w:rFonts w:cs="Times New Roman"/>
          <w:lang w:eastAsia="zh-CN"/>
        </w:rPr>
        <w:t>与两圆柱的</w:t>
      </w:r>
      <w:r w:rsidR="00144613">
        <w:rPr>
          <w:rFonts w:cs="Times New Roman" w:hint="eastAsia"/>
          <w:lang w:eastAsia="zh-CN"/>
        </w:rPr>
        <w:t>相交线</w:t>
      </w:r>
      <w:r w:rsidR="00144613">
        <w:rPr>
          <w:rFonts w:cs="Times New Roman"/>
          <w:lang w:eastAsia="zh-CN"/>
        </w:rPr>
        <w:t>段长度</w:t>
      </w:r>
      <w:r w:rsidR="00144613">
        <w:rPr>
          <w:rFonts w:cs="Times New Roman" w:hint="eastAsia"/>
          <w:lang w:eastAsia="zh-CN"/>
        </w:rPr>
        <w:t>，以此得到衰减系数，</w:t>
      </w:r>
      <w:r w:rsidR="00144613">
        <w:rPr>
          <w:rFonts w:cs="Times New Roman"/>
          <w:lang w:eastAsia="zh-CN"/>
        </w:rPr>
        <w:t>依据</w:t>
      </w:r>
      <w:r w:rsidR="00144613">
        <w:rPr>
          <w:rFonts w:cs="Times New Roman"/>
          <w:lang w:eastAsia="zh-CN"/>
        </w:rPr>
        <w:t>Beer-Lambert</w:t>
      </w:r>
      <w:r w:rsidR="00144613">
        <w:rPr>
          <w:rFonts w:cs="Times New Roman"/>
          <w:lang w:eastAsia="zh-CN"/>
        </w:rPr>
        <w:t>定律建立焦点强度分布到观测轮廓的正向模型</w:t>
      </w:r>
      <w:r w:rsidR="00144613">
        <w:rPr>
          <w:rFonts w:cs="Times New Roman" w:hint="eastAsia"/>
          <w:lang w:eastAsia="zh-CN"/>
        </w:rPr>
        <w:t>，</w:t>
      </w:r>
      <w:r w:rsidR="00144613">
        <w:rPr>
          <w:rFonts w:cs="Times New Roman"/>
          <w:lang w:eastAsia="zh-CN"/>
        </w:rPr>
        <w:t>并采用</w:t>
      </w:r>
      <w:r w:rsidR="00144613">
        <w:rPr>
          <w:rFonts w:cs="Times New Roman"/>
          <w:lang w:eastAsia="zh-CN"/>
        </w:rPr>
        <w:t>Tikhonov</w:t>
      </w:r>
      <w:r w:rsidR="00144613">
        <w:rPr>
          <w:rFonts w:cs="Times New Roman"/>
          <w:lang w:eastAsia="zh-CN"/>
        </w:rPr>
        <w:t>反演恢复</w:t>
      </w:r>
      <w:r w:rsidR="00144613">
        <w:rPr>
          <w:rFonts w:cs="Times New Roman" w:hint="eastAsia"/>
          <w:lang w:eastAsia="zh-CN"/>
        </w:rPr>
        <w:t>，</w:t>
      </w:r>
      <w:r w:rsidR="00144613">
        <w:rPr>
          <w:rFonts w:cs="Times New Roman"/>
          <w:lang w:eastAsia="zh-CN"/>
        </w:rPr>
        <w:t>从而</w:t>
      </w:r>
      <w:r w:rsidR="00144613">
        <w:rPr>
          <w:rFonts w:cs="Times New Roman" w:hint="eastAsia"/>
          <w:lang w:eastAsia="zh-CN"/>
        </w:rPr>
        <w:t>从</w:t>
      </w:r>
      <w:r w:rsidR="00144613">
        <w:rPr>
          <w:rFonts w:cs="Times New Roman"/>
          <w:lang w:eastAsia="zh-CN"/>
        </w:rPr>
        <w:t>投影中</w:t>
      </w:r>
      <w:r w:rsidR="00144613">
        <w:rPr>
          <w:rFonts w:cs="Times New Roman" w:hint="eastAsia"/>
          <w:lang w:eastAsia="zh-CN"/>
        </w:rPr>
        <w:t>图像中得到</w:t>
      </w:r>
      <w:r w:rsidR="00144613">
        <w:rPr>
          <w:rFonts w:cs="Times New Roman"/>
          <w:lang w:eastAsia="zh-CN"/>
        </w:rPr>
        <w:t>焦点线扩展函数（</w:t>
      </w:r>
      <w:r w:rsidR="00144613">
        <w:rPr>
          <w:rFonts w:cs="Times New Roman"/>
          <w:lang w:eastAsia="zh-CN"/>
        </w:rPr>
        <w:t>LSF</w:t>
      </w:r>
      <w:r w:rsidR="00144613">
        <w:rPr>
          <w:rFonts w:cs="Times New Roman"/>
          <w:lang w:eastAsia="zh-CN"/>
        </w:rPr>
        <w:t>）。</w:t>
      </w:r>
      <w:r w:rsidR="00144613" w:rsidRPr="00E65195">
        <w:rPr>
          <w:rFonts w:cs="Times New Roman" w:hint="eastAsia"/>
          <w:highlight w:val="yellow"/>
          <w:lang w:eastAsia="zh-CN"/>
        </w:rPr>
        <w:t>结果，结论</w:t>
      </w:r>
    </w:p>
    <w:p w14:paraId="440CB2AA" w14:textId="77777777" w:rsidR="000B554E" w:rsidRDefault="00000000">
      <w:pPr>
        <w:spacing w:after="160"/>
        <w:rPr>
          <w:lang w:eastAsia="zh-CN"/>
        </w:rPr>
      </w:pPr>
      <w:r>
        <w:rPr>
          <w:rFonts w:eastAsia="黑体" w:cs="Times New Roman"/>
          <w:b/>
          <w:lang w:eastAsia="zh-CN"/>
        </w:rPr>
        <w:t>关键词：</w:t>
      </w:r>
      <w:r>
        <w:rPr>
          <w:rFonts w:cs="Times New Roman"/>
          <w:lang w:eastAsia="zh-CN"/>
        </w:rPr>
        <w:t>X</w:t>
      </w:r>
      <w:r>
        <w:rPr>
          <w:rFonts w:cs="Times New Roman"/>
          <w:lang w:eastAsia="zh-CN"/>
        </w:rPr>
        <w:t>射线管；焦点检测；双圆柱；线扩展函数；正则化反演</w:t>
      </w:r>
    </w:p>
    <w:p w14:paraId="362EFD00" w14:textId="77777777" w:rsidR="000B554E" w:rsidRDefault="00000000">
      <w:pPr>
        <w:pStyle w:val="1"/>
        <w:rPr>
          <w:lang w:eastAsia="zh-CN"/>
        </w:rPr>
      </w:pPr>
      <w:r>
        <w:rPr>
          <w:lang w:eastAsia="zh-CN"/>
        </w:rPr>
        <w:t xml:space="preserve">1 </w:t>
      </w:r>
      <w:r>
        <w:rPr>
          <w:lang w:eastAsia="zh-CN"/>
        </w:rPr>
        <w:t>引言</w:t>
      </w:r>
    </w:p>
    <w:p w14:paraId="43ACA94A" w14:textId="77777777" w:rsidR="00144613" w:rsidRDefault="00144613" w:rsidP="00144613">
      <w:pPr>
        <w:ind w:firstLine="420"/>
        <w:jc w:val="both"/>
        <w:rPr>
          <w:lang w:eastAsia="zh-CN"/>
        </w:rPr>
      </w:pPr>
      <w:r>
        <w:rPr>
          <w:rFonts w:cs="Times New Roman"/>
          <w:lang w:eastAsia="zh-CN"/>
        </w:rPr>
        <w:t>X</w:t>
      </w:r>
      <w:r>
        <w:rPr>
          <w:rFonts w:cs="Times New Roman"/>
          <w:lang w:eastAsia="zh-CN"/>
        </w:rPr>
        <w:t>射线管焦点是电子束轰击阳极靶面后产生</w:t>
      </w:r>
      <w:r>
        <w:rPr>
          <w:rFonts w:cs="Times New Roman"/>
          <w:lang w:eastAsia="zh-CN"/>
        </w:rPr>
        <w:t>X</w:t>
      </w:r>
      <w:r>
        <w:rPr>
          <w:rFonts w:cs="Times New Roman"/>
          <w:lang w:eastAsia="zh-CN"/>
        </w:rPr>
        <w:t>射线的有效发射区域。</w:t>
      </w:r>
      <w:r>
        <w:rPr>
          <w:rFonts w:cs="Times New Roman" w:hint="eastAsia"/>
          <w:lang w:eastAsia="zh-CN"/>
        </w:rPr>
        <w:t>医学诊断用</w:t>
      </w:r>
      <w:r>
        <w:rPr>
          <w:rFonts w:cs="Times New Roman" w:hint="eastAsia"/>
          <w:lang w:eastAsia="zh-CN"/>
        </w:rPr>
        <w:t>X</w:t>
      </w:r>
      <w:r>
        <w:rPr>
          <w:rFonts w:cs="Times New Roman" w:hint="eastAsia"/>
          <w:lang w:eastAsia="zh-CN"/>
        </w:rPr>
        <w:t>射线机的焦点的大小和强度分布直接影响了成像的质量，例如若有效焦点尺寸过大，其对于远离探测器平面的被探测物体，其成像往往会因为</w:t>
      </w:r>
      <w:r>
        <w:rPr>
          <w:rFonts w:cs="Times New Roman"/>
          <w:lang w:eastAsia="zh-CN"/>
        </w:rPr>
        <w:t>随几何放大而</w:t>
      </w:r>
      <w:r>
        <w:rPr>
          <w:rFonts w:cs="Times New Roman" w:hint="eastAsia"/>
          <w:lang w:eastAsia="zh-CN"/>
        </w:rPr>
        <w:t>产生</w:t>
      </w:r>
      <w:r>
        <w:rPr>
          <w:rFonts w:cs="Times New Roman"/>
          <w:lang w:eastAsia="zh-CN"/>
        </w:rPr>
        <w:t>的半影</w:t>
      </w:r>
      <w:r>
        <w:rPr>
          <w:rFonts w:cs="Times New Roman" w:hint="eastAsia"/>
          <w:lang w:eastAsia="zh-CN"/>
        </w:rPr>
        <w:t>模糊导致</w:t>
      </w:r>
      <w:r>
        <w:rPr>
          <w:rFonts w:cs="Times New Roman"/>
          <w:lang w:eastAsia="zh-CN"/>
        </w:rPr>
        <w:t>空间分辨率损失。</w:t>
      </w:r>
      <w:r>
        <w:rPr>
          <w:rFonts w:cs="Times New Roman" w:hint="eastAsia"/>
          <w:lang w:eastAsia="zh-CN"/>
        </w:rPr>
        <w:t>此外，</w:t>
      </w:r>
      <w:r>
        <w:rPr>
          <w:rFonts w:cs="Times New Roman"/>
          <w:lang w:eastAsia="zh-CN"/>
        </w:rPr>
        <w:t>实际焦点通常还具有非均匀、非对称、双峰或拖尾等结构，因此仅用标称长度和宽度难以完整描述其</w:t>
      </w:r>
      <w:r>
        <w:rPr>
          <w:rFonts w:cs="Times New Roman" w:hint="eastAsia"/>
          <w:lang w:eastAsia="zh-CN"/>
        </w:rPr>
        <w:t>对</w:t>
      </w:r>
      <w:r>
        <w:rPr>
          <w:rFonts w:cs="Times New Roman"/>
          <w:lang w:eastAsia="zh-CN"/>
        </w:rPr>
        <w:t>成像</w:t>
      </w:r>
      <w:r>
        <w:rPr>
          <w:rFonts w:cs="Times New Roman" w:hint="eastAsia"/>
          <w:lang w:eastAsia="zh-CN"/>
        </w:rPr>
        <w:t>产生的影响</w:t>
      </w:r>
      <w:r>
        <w:rPr>
          <w:rFonts w:cs="Times New Roman"/>
          <w:lang w:eastAsia="zh-CN"/>
        </w:rPr>
        <w:t>。</w:t>
      </w:r>
      <w:r>
        <w:rPr>
          <w:rFonts w:cs="Times New Roman"/>
          <w:lang w:eastAsia="zh-CN"/>
        </w:rPr>
        <w:t>IEC 60336</w:t>
      </w:r>
      <w:r>
        <w:rPr>
          <w:rFonts w:cs="Times New Roman"/>
          <w:lang w:eastAsia="zh-CN"/>
        </w:rPr>
        <w:t>给出了医用诊断</w:t>
      </w:r>
      <w:r>
        <w:rPr>
          <w:rFonts w:cs="Times New Roman"/>
          <w:lang w:eastAsia="zh-CN"/>
        </w:rPr>
        <w:t>X</w:t>
      </w:r>
      <w:r>
        <w:rPr>
          <w:rFonts w:cs="Times New Roman"/>
          <w:lang w:eastAsia="zh-CN"/>
        </w:rPr>
        <w:t>射线管焦点特性的标准化评价框架</w:t>
      </w:r>
      <w:r>
        <w:rPr>
          <w:rFonts w:cs="Times New Roman" w:hint="eastAsia"/>
          <w:lang w:eastAsia="zh-CN"/>
        </w:rPr>
        <w:t>，其及</w:t>
      </w:r>
      <w:r>
        <w:rPr>
          <w:rFonts w:cs="Times New Roman"/>
          <w:lang w:eastAsia="zh-CN"/>
        </w:rPr>
        <w:t>相关综述亦指出，焦点尺寸既是射线源性能参数，也是高放大成像和</w:t>
      </w:r>
      <w:r>
        <w:rPr>
          <w:rFonts w:cs="Times New Roman" w:hint="eastAsia"/>
          <w:lang w:eastAsia="zh-CN"/>
        </w:rPr>
        <w:t>医用</w:t>
      </w:r>
      <w:r>
        <w:rPr>
          <w:rFonts w:cs="Times New Roman"/>
          <w:lang w:eastAsia="zh-CN"/>
        </w:rPr>
        <w:t>CT</w:t>
      </w:r>
      <w:r>
        <w:rPr>
          <w:rFonts w:cs="Times New Roman"/>
          <w:lang w:eastAsia="zh-CN"/>
        </w:rPr>
        <w:t>空间分辨率的重要限制因素</w:t>
      </w:r>
      <w:r>
        <w:rPr>
          <w:rFonts w:cs="Times New Roman"/>
          <w:lang w:eastAsia="zh-CN"/>
        </w:rPr>
        <w:t>[1-2]</w:t>
      </w:r>
      <w:r>
        <w:rPr>
          <w:rFonts w:cs="Times New Roman"/>
          <w:lang w:eastAsia="zh-CN"/>
        </w:rPr>
        <w:t>。焦点</w:t>
      </w:r>
      <w:r>
        <w:rPr>
          <w:rFonts w:cs="Times New Roman"/>
          <w:lang w:eastAsia="zh-CN"/>
        </w:rPr>
        <w:t>LSF</w:t>
      </w:r>
      <w:r>
        <w:rPr>
          <w:rFonts w:cs="Times New Roman"/>
          <w:lang w:eastAsia="zh-CN"/>
        </w:rPr>
        <w:t>及其傅里叶变换可较单一阈值宽度提供更完整的方向性模糊信息</w:t>
      </w:r>
      <w:r>
        <w:rPr>
          <w:rFonts w:cs="Times New Roman"/>
          <w:lang w:eastAsia="zh-CN"/>
        </w:rPr>
        <w:t>[11]</w:t>
      </w:r>
      <w:r>
        <w:rPr>
          <w:rFonts w:cs="Times New Roman"/>
          <w:lang w:eastAsia="zh-CN"/>
        </w:rPr>
        <w:t>。</w:t>
      </w:r>
    </w:p>
    <w:p w14:paraId="51E74FE0" w14:textId="77777777" w:rsidR="00144613" w:rsidRDefault="00144613" w:rsidP="00144613">
      <w:pPr>
        <w:ind w:firstLine="420"/>
        <w:jc w:val="both"/>
        <w:rPr>
          <w:lang w:eastAsia="zh-CN"/>
        </w:rPr>
      </w:pPr>
      <w:r>
        <w:rPr>
          <w:rFonts w:cs="Times New Roman"/>
          <w:lang w:eastAsia="zh-CN"/>
        </w:rPr>
        <w:t>目前常用的直接或间接测量方法包括针孔法、狭缝法、</w:t>
      </w:r>
      <w:proofErr w:type="gramStart"/>
      <w:r>
        <w:rPr>
          <w:rFonts w:cs="Times New Roman"/>
          <w:lang w:eastAsia="zh-CN"/>
        </w:rPr>
        <w:t>星卡法</w:t>
      </w:r>
      <w:proofErr w:type="gramEnd"/>
      <w:r>
        <w:rPr>
          <w:rFonts w:cs="Times New Roman"/>
          <w:lang w:eastAsia="zh-CN"/>
        </w:rPr>
        <w:t>和边缘法。针孔法能够形成焦点二维放大像，</w:t>
      </w:r>
      <w:r>
        <w:rPr>
          <w:rFonts w:cs="Times New Roman" w:hint="eastAsia"/>
          <w:lang w:eastAsia="zh-CN"/>
        </w:rPr>
        <w:t>能直观展示焦点的强度分布，</w:t>
      </w:r>
      <w:r>
        <w:rPr>
          <w:rFonts w:cs="Times New Roman"/>
          <w:lang w:eastAsia="zh-CN"/>
        </w:rPr>
        <w:t>但微小孔径加工、对准和曝光负荷限制了其通用性</w:t>
      </w:r>
      <w:r>
        <w:rPr>
          <w:rFonts w:cs="Times New Roman" w:hint="eastAsia"/>
          <w:lang w:eastAsia="zh-CN"/>
        </w:rPr>
        <w:t>。</w:t>
      </w:r>
      <w:proofErr w:type="gramStart"/>
      <w:r>
        <w:rPr>
          <w:rFonts w:cs="Times New Roman"/>
          <w:lang w:eastAsia="zh-CN"/>
        </w:rPr>
        <w:t>星卡法</w:t>
      </w:r>
      <w:proofErr w:type="gramEnd"/>
      <w:r>
        <w:rPr>
          <w:rFonts w:cs="Times New Roman"/>
          <w:lang w:eastAsia="zh-CN"/>
        </w:rPr>
        <w:t>适于快速评价分辨极限，但结果与判读准则有关</w:t>
      </w:r>
      <w:r>
        <w:rPr>
          <w:rFonts w:cs="Times New Roman" w:hint="eastAsia"/>
          <w:lang w:eastAsia="zh-CN"/>
        </w:rPr>
        <w:t>，其主观性较强。</w:t>
      </w:r>
      <w:r>
        <w:rPr>
          <w:rFonts w:cs="Times New Roman"/>
          <w:lang w:eastAsia="zh-CN"/>
        </w:rPr>
        <w:t>边缘法装置简单，</w:t>
      </w:r>
      <w:r>
        <w:rPr>
          <w:rFonts w:cs="Times New Roman" w:hint="eastAsia"/>
          <w:lang w:eastAsia="zh-CN"/>
        </w:rPr>
        <w:t>但对边缘加工需求高，且信噪比较低</w:t>
      </w:r>
      <w:r>
        <w:rPr>
          <w:rFonts w:cs="Times New Roman"/>
          <w:lang w:eastAsia="zh-CN"/>
        </w:rPr>
        <w:t>。狭缝法以窄缝对焦点进行一维编码，具有明确的测量方向和成熟的标准基础。已有比较研究表明，在常规焦点范围内，狭缝、针孔</w:t>
      </w:r>
      <w:proofErr w:type="gramStart"/>
      <w:r>
        <w:rPr>
          <w:rFonts w:cs="Times New Roman"/>
          <w:lang w:eastAsia="zh-CN"/>
        </w:rPr>
        <w:t>和星卡法</w:t>
      </w:r>
      <w:proofErr w:type="gramEnd"/>
      <w:r>
        <w:rPr>
          <w:rFonts w:cs="Times New Roman"/>
          <w:lang w:eastAsia="zh-CN"/>
        </w:rPr>
        <w:t>可获得相近结果</w:t>
      </w:r>
      <w:r>
        <w:rPr>
          <w:rFonts w:cs="Times New Roman"/>
          <w:lang w:eastAsia="zh-CN"/>
        </w:rPr>
        <w:t>[3]</w:t>
      </w:r>
      <w:r>
        <w:rPr>
          <w:rFonts w:cs="Times New Roman" w:hint="eastAsia"/>
          <w:lang w:eastAsia="zh-CN"/>
        </w:rPr>
        <w:t>。</w:t>
      </w:r>
    </w:p>
    <w:p w14:paraId="31F035F8" w14:textId="77777777" w:rsidR="00144613" w:rsidRDefault="00144613" w:rsidP="00144613">
      <w:pPr>
        <w:ind w:firstLine="420"/>
        <w:jc w:val="both"/>
        <w:rPr>
          <w:lang w:eastAsia="zh-CN"/>
        </w:rPr>
      </w:pPr>
      <w:r>
        <w:rPr>
          <w:rFonts w:cs="Times New Roman"/>
          <w:lang w:eastAsia="zh-CN"/>
        </w:rPr>
        <w:t>狭缝法的主要工程困难来自高衰减材料上微小开口的制造与装配。双圆柱结构为替代精密狭缝提供了另一种可能。已有圆柱法研究采用双钨合金圆柱测量不同射线张角下的有效焦点，证明了圆柱结构在焦点评价中的可行性</w:t>
      </w:r>
      <w:r>
        <w:rPr>
          <w:rFonts w:cs="Times New Roman"/>
          <w:lang w:eastAsia="zh-CN"/>
        </w:rPr>
        <w:t>[6]</w:t>
      </w:r>
      <w:r>
        <w:rPr>
          <w:rFonts w:cs="Times New Roman"/>
          <w:lang w:eastAsia="zh-CN"/>
        </w:rPr>
        <w:t>。规则接触体在</w:t>
      </w:r>
      <w:r>
        <w:rPr>
          <w:rFonts w:cs="Times New Roman"/>
          <w:lang w:eastAsia="zh-CN"/>
        </w:rPr>
        <w:t>CT</w:t>
      </w:r>
      <w:r>
        <w:rPr>
          <w:rFonts w:cs="Times New Roman"/>
          <w:lang w:eastAsia="zh-CN"/>
        </w:rPr>
        <w:t>结构分辨率评价中还具有结构简单、</w:t>
      </w:r>
      <w:proofErr w:type="gramStart"/>
      <w:r>
        <w:rPr>
          <w:rFonts w:cs="Times New Roman"/>
          <w:lang w:eastAsia="zh-CN"/>
        </w:rPr>
        <w:t>易制造</w:t>
      </w:r>
      <w:proofErr w:type="gramEnd"/>
      <w:r>
        <w:rPr>
          <w:rFonts w:cs="Times New Roman"/>
          <w:lang w:eastAsia="zh-CN"/>
        </w:rPr>
        <w:t>和易标定的优势</w:t>
      </w:r>
      <w:r>
        <w:rPr>
          <w:rFonts w:cs="Times New Roman"/>
          <w:lang w:eastAsia="zh-CN"/>
        </w:rPr>
        <w:t>[13]</w:t>
      </w:r>
      <w:r>
        <w:rPr>
          <w:rFonts w:cs="Times New Roman"/>
          <w:lang w:eastAsia="zh-CN"/>
        </w:rPr>
        <w:t>。因此，有必要从射线传播和材料衰减出发，</w:t>
      </w:r>
      <w:r>
        <w:rPr>
          <w:rFonts w:cs="Times New Roman" w:hint="eastAsia"/>
          <w:lang w:eastAsia="zh-CN"/>
        </w:rPr>
        <w:t>即通过</w:t>
      </w:r>
      <w:r>
        <w:rPr>
          <w:rFonts w:cs="Times New Roman"/>
          <w:lang w:eastAsia="zh-CN"/>
        </w:rPr>
        <w:t>双圆柱接触区的连续厚度</w:t>
      </w:r>
      <w:r>
        <w:rPr>
          <w:rFonts w:cs="Times New Roman" w:hint="eastAsia"/>
          <w:lang w:eastAsia="zh-CN"/>
        </w:rPr>
        <w:t>变化对</w:t>
      </w:r>
      <w:r>
        <w:rPr>
          <w:rFonts w:cs="Times New Roman" w:hint="eastAsia"/>
          <w:lang w:eastAsia="zh-CN"/>
        </w:rPr>
        <w:t>X</w:t>
      </w:r>
      <w:r>
        <w:rPr>
          <w:rFonts w:cs="Times New Roman" w:hint="eastAsia"/>
          <w:lang w:eastAsia="zh-CN"/>
        </w:rPr>
        <w:t>射线强度的衰减</w:t>
      </w:r>
      <w:r>
        <w:rPr>
          <w:rFonts w:cs="Times New Roman"/>
          <w:lang w:eastAsia="zh-CN"/>
        </w:rPr>
        <w:t>，</w:t>
      </w:r>
      <w:r>
        <w:rPr>
          <w:rFonts w:cs="Times New Roman" w:hint="eastAsia"/>
          <w:lang w:eastAsia="zh-CN"/>
        </w:rPr>
        <w:t>代替</w:t>
      </w:r>
      <w:r>
        <w:rPr>
          <w:rFonts w:cs="Times New Roman"/>
          <w:lang w:eastAsia="zh-CN"/>
        </w:rPr>
        <w:t>把其近似为固定宽度的理想狭缝。</w:t>
      </w:r>
    </w:p>
    <w:p w14:paraId="67532CA7" w14:textId="77777777" w:rsidR="00144613" w:rsidRDefault="00144613" w:rsidP="00144613">
      <w:pPr>
        <w:ind w:firstLine="420"/>
        <w:jc w:val="both"/>
        <w:rPr>
          <w:lang w:eastAsia="zh-CN"/>
        </w:rPr>
      </w:pPr>
      <w:r>
        <w:rPr>
          <w:lang w:eastAsia="zh-CN"/>
        </w:rPr>
        <w:t>基于上述问题，本文提出一种基于双圆柱连续厚度调制的</w:t>
      </w:r>
      <w:r>
        <w:rPr>
          <w:lang w:eastAsia="zh-CN"/>
        </w:rPr>
        <w:t>X</w:t>
      </w:r>
      <w:r>
        <w:rPr>
          <w:lang w:eastAsia="zh-CN"/>
        </w:rPr>
        <w:t>射线管焦点检测方法。其主要工作包括：建立射线与轴向无限圆柱的解析相交模型；依据</w:t>
      </w:r>
      <w:r>
        <w:rPr>
          <w:lang w:eastAsia="zh-CN"/>
        </w:rPr>
        <w:t>Beer-Lambert</w:t>
      </w:r>
      <w:r>
        <w:rPr>
          <w:lang w:eastAsia="zh-CN"/>
        </w:rPr>
        <w:t>定律构造焦点</w:t>
      </w:r>
      <w:r>
        <w:rPr>
          <w:lang w:eastAsia="zh-CN"/>
        </w:rPr>
        <w:t>LSF</w:t>
      </w:r>
      <w:r>
        <w:rPr>
          <w:lang w:eastAsia="zh-CN"/>
        </w:rPr>
        <w:t>到探测器强度轮廓的正向核；在保留系统强度比例因子的条件下，采用非负约束与二阶平滑正则</w:t>
      </w:r>
      <w:proofErr w:type="gramStart"/>
      <w:r>
        <w:rPr>
          <w:lang w:eastAsia="zh-CN"/>
        </w:rPr>
        <w:t>化恢复</w:t>
      </w:r>
      <w:proofErr w:type="gramEnd"/>
      <w:r>
        <w:rPr>
          <w:lang w:eastAsia="zh-CN"/>
        </w:rPr>
        <w:t>非参数焦点方向强度分布，并以积分强度、</w:t>
      </w:r>
      <w:r>
        <w:rPr>
          <w:lang w:eastAsia="zh-CN"/>
        </w:rPr>
        <w:t>FWHM</w:t>
      </w:r>
      <w:proofErr w:type="gramStart"/>
      <w:r>
        <w:rPr>
          <w:lang w:eastAsia="zh-CN"/>
        </w:rPr>
        <w:t>及峰形参</w:t>
      </w:r>
      <w:proofErr w:type="gramEnd"/>
      <w:r>
        <w:rPr>
          <w:lang w:eastAsia="zh-CN"/>
        </w:rPr>
        <w:t>数表征焦点；最后从模型适用条件、误差传播和与狭缝法的一致性验证三个方面给出方法学要求。</w:t>
      </w:r>
    </w:p>
    <w:p w14:paraId="7CE50065" w14:textId="77777777" w:rsidR="000B554E" w:rsidRDefault="00000000">
      <w:pPr>
        <w:pStyle w:val="1"/>
        <w:rPr>
          <w:lang w:eastAsia="zh-CN"/>
        </w:rPr>
      </w:pPr>
      <w:r>
        <w:rPr>
          <w:lang w:eastAsia="zh-CN"/>
        </w:rPr>
        <w:t xml:space="preserve">2 </w:t>
      </w:r>
      <w:r>
        <w:rPr>
          <w:lang w:eastAsia="zh-CN"/>
        </w:rPr>
        <w:t>方法</w:t>
      </w:r>
    </w:p>
    <w:p w14:paraId="784D1AF3" w14:textId="77777777" w:rsidR="000B554E" w:rsidRDefault="00000000">
      <w:pPr>
        <w:ind w:firstLine="420"/>
        <w:jc w:val="both"/>
        <w:rPr>
          <w:lang w:eastAsia="zh-CN"/>
        </w:rPr>
      </w:pPr>
      <w:r>
        <w:rPr>
          <w:rFonts w:cs="Times New Roman"/>
          <w:lang w:eastAsia="zh-CN"/>
        </w:rPr>
        <w:t>本方法由双圆柱连续厚度调制、</w:t>
      </w:r>
      <w:proofErr w:type="gramStart"/>
      <w:r>
        <w:rPr>
          <w:rFonts w:cs="Times New Roman"/>
          <w:lang w:eastAsia="zh-CN"/>
        </w:rPr>
        <w:t>真实锥束正向</w:t>
      </w:r>
      <w:proofErr w:type="gramEnd"/>
      <w:r>
        <w:rPr>
          <w:rFonts w:cs="Times New Roman"/>
          <w:lang w:eastAsia="zh-CN"/>
        </w:rPr>
        <w:t>建模、非负正则反演和焦点尺度表征构成。其核心不是把两圆柱接触区等效为理想窄缝，而是将圆柱几何与材料衰减共同形成的</w:t>
      </w:r>
      <w:proofErr w:type="gramStart"/>
      <w:r>
        <w:rPr>
          <w:rFonts w:cs="Times New Roman"/>
          <w:lang w:eastAsia="zh-CN"/>
        </w:rPr>
        <w:t>连续响应</w:t>
      </w:r>
      <w:proofErr w:type="gramEnd"/>
      <w:r>
        <w:rPr>
          <w:rFonts w:cs="Times New Roman"/>
          <w:lang w:eastAsia="zh-CN"/>
        </w:rPr>
        <w:t>视为已知编码核，由观测投影反演焦点的一维线扩展函数。以下推导不依赖特定设备型号、采样参数或软件实现。</w:t>
      </w:r>
    </w:p>
    <w:p w14:paraId="410FCAA6" w14:textId="77777777" w:rsidR="000B554E" w:rsidRDefault="00000000">
      <w:pPr>
        <w:pStyle w:val="21"/>
        <w:rPr>
          <w:lang w:eastAsia="zh-CN"/>
        </w:rPr>
      </w:pPr>
      <w:r>
        <w:rPr>
          <w:lang w:eastAsia="zh-CN"/>
        </w:rPr>
        <w:lastRenderedPageBreak/>
        <w:t xml:space="preserve">2.1 </w:t>
      </w:r>
      <w:r>
        <w:rPr>
          <w:lang w:eastAsia="zh-CN"/>
        </w:rPr>
        <w:t>几何关系与基本假设</w:t>
      </w:r>
    </w:p>
    <w:p w14:paraId="15DE0B36" w14:textId="77777777" w:rsidR="00144613" w:rsidRDefault="00144613" w:rsidP="00144613">
      <w:pPr>
        <w:ind w:firstLine="420"/>
        <w:jc w:val="both"/>
        <w:rPr>
          <w:lang w:eastAsia="zh-CN"/>
        </w:rPr>
      </w:pPr>
      <w:r>
        <w:rPr>
          <w:lang w:eastAsia="zh-CN"/>
        </w:rPr>
        <w:t>对于</w:t>
      </w:r>
      <w:r>
        <w:rPr>
          <w:lang w:eastAsia="zh-CN"/>
        </w:rPr>
        <w:t>X</w:t>
      </w:r>
      <w:r>
        <w:rPr>
          <w:lang w:eastAsia="zh-CN"/>
        </w:rPr>
        <w:t>射线设备，</w:t>
      </w:r>
      <w:proofErr w:type="gramStart"/>
      <w:r>
        <w:rPr>
          <w:lang w:eastAsia="zh-CN"/>
        </w:rPr>
        <w:t>设有效</w:t>
      </w:r>
      <w:proofErr w:type="gramEnd"/>
      <w:r>
        <w:rPr>
          <w:lang w:eastAsia="zh-CN"/>
        </w:rPr>
        <w:t>焦点平面为参考平面</w:t>
      </w:r>
      <w:r>
        <w:rPr>
          <w:lang w:eastAsia="zh-CN"/>
        </w:rPr>
        <w:t>z=0</w:t>
      </w:r>
      <w:r>
        <w:rPr>
          <w:lang w:eastAsia="zh-CN"/>
        </w:rPr>
        <w:t>，探测器平面为</w:t>
      </w:r>
      <w:r>
        <w:rPr>
          <w:lang w:eastAsia="zh-CN"/>
        </w:rPr>
        <w:t>z=D</w:t>
      </w:r>
      <w:r>
        <w:rPr>
          <w:lang w:eastAsia="zh-CN"/>
        </w:rPr>
        <w:t>。设两根半径相同的圆柱轴线平行于</w:t>
      </w:r>
      <w:r>
        <w:rPr>
          <w:lang w:eastAsia="zh-CN"/>
        </w:rPr>
        <w:t>y</w:t>
      </w:r>
      <w:r>
        <w:rPr>
          <w:lang w:eastAsia="zh-CN"/>
        </w:rPr>
        <w:t>轴，其双圆柱轴线连成平面平行于焦点平面，位于</w:t>
      </w:r>
      <w:r>
        <w:rPr>
          <w:lang w:eastAsia="zh-CN"/>
        </w:rPr>
        <w:t>z=a</w:t>
      </w:r>
      <w:r>
        <w:rPr>
          <w:lang w:eastAsia="zh-CN"/>
        </w:rPr>
        <w:t>，其到探测器的距离为</w:t>
      </w:r>
      <w:r>
        <w:rPr>
          <w:lang w:eastAsia="zh-CN"/>
        </w:rPr>
        <w:t>b</w:t>
      </w:r>
      <w:r>
        <w:rPr>
          <w:lang w:eastAsia="zh-CN"/>
        </w:rPr>
        <w:t>，因而</w:t>
      </w:r>
      <w:r>
        <w:rPr>
          <w:lang w:eastAsia="zh-CN"/>
        </w:rPr>
        <w:t>D=</w:t>
      </w:r>
      <w:proofErr w:type="spellStart"/>
      <w:r>
        <w:rPr>
          <w:lang w:eastAsia="zh-CN"/>
        </w:rPr>
        <w:t>a+b</w:t>
      </w:r>
      <w:proofErr w:type="spellEnd"/>
      <w:r>
        <w:rPr>
          <w:lang w:eastAsia="zh-CN"/>
        </w:rPr>
        <w:t>。圆柱半径记为</w:t>
      </w:r>
      <w:r>
        <w:rPr>
          <w:lang w:eastAsia="zh-CN"/>
        </w:rPr>
        <w:t>R</w:t>
      </w:r>
      <w:r>
        <w:rPr>
          <w:lang w:eastAsia="zh-CN"/>
        </w:rPr>
        <w:t>，两圆柱的间隙记为</w:t>
      </w:r>
      <w:r>
        <w:rPr>
          <w:lang w:eastAsia="zh-CN"/>
        </w:rPr>
        <w:t>g</w:t>
      </w:r>
      <w:r>
        <w:rPr>
          <w:lang w:eastAsia="zh-CN"/>
        </w:rPr>
        <w:t>，第</w:t>
      </w:r>
      <w:proofErr w:type="spellStart"/>
      <w:r>
        <w:rPr>
          <w:lang w:eastAsia="zh-CN"/>
        </w:rPr>
        <w:t>i</w:t>
      </w:r>
      <w:proofErr w:type="spellEnd"/>
      <w:r>
        <w:rPr>
          <w:lang w:eastAsia="zh-CN"/>
        </w:rPr>
        <w:t>根圆柱的横向中心坐标记为</w:t>
      </w:r>
      <w:r>
        <w:rPr>
          <w:lang w:eastAsia="zh-CN"/>
        </w:rPr>
        <w:t>xᵢ</w:t>
      </w:r>
      <w:r>
        <w:rPr>
          <w:lang w:eastAsia="zh-CN"/>
        </w:rPr>
        <w:t>。两圆柱中心关于</w:t>
      </w:r>
      <w:r>
        <w:rPr>
          <w:lang w:eastAsia="zh-CN"/>
        </w:rPr>
        <w:t>x=0</w:t>
      </w:r>
      <w:r>
        <w:rPr>
          <w:lang w:eastAsia="zh-CN"/>
        </w:rPr>
        <w:t>对称，中心距为</w:t>
      </w:r>
      <w:r>
        <w:rPr>
          <w:lang w:eastAsia="zh-CN"/>
        </w:rPr>
        <w:t>2R+g</w:t>
      </w:r>
      <w:r>
        <w:rPr>
          <w:lang w:eastAsia="zh-CN"/>
        </w:rPr>
        <w:t>。当</w:t>
      </w:r>
      <w:r>
        <w:rPr>
          <w:lang w:eastAsia="zh-CN"/>
        </w:rPr>
        <w:t>g=0</w:t>
      </w:r>
      <w:r>
        <w:rPr>
          <w:lang w:eastAsia="zh-CN"/>
        </w:rPr>
        <w:t>时，两圆柱在</w:t>
      </w:r>
      <w:r>
        <w:rPr>
          <w:lang w:eastAsia="zh-CN"/>
        </w:rPr>
        <w:t>x=0</w:t>
      </w:r>
      <w:r>
        <w:rPr>
          <w:lang w:eastAsia="zh-CN"/>
        </w:rPr>
        <w:t>处相切。由于设计研究区域不包含圆柱端点，模型将圆柱视为沿</w:t>
      </w:r>
      <w:r>
        <w:rPr>
          <w:lang w:eastAsia="zh-CN"/>
        </w:rPr>
        <w:t>y</w:t>
      </w:r>
      <w:r>
        <w:rPr>
          <w:lang w:eastAsia="zh-CN"/>
        </w:rPr>
        <w:t>方向无限延伸，不引入圆柱长度或轴向端面位置参数。</w:t>
      </w:r>
    </w:p>
    <w:p w14:paraId="0260E658" w14:textId="77777777" w:rsidR="00144613" w:rsidRDefault="00144613" w:rsidP="00144613">
      <w:pPr>
        <w:ind w:firstLine="420"/>
        <w:jc w:val="both"/>
        <w:rPr>
          <w:rFonts w:cs="Times New Roman"/>
          <w:lang w:eastAsia="zh-CN"/>
        </w:rPr>
      </w:pPr>
      <w:r>
        <w:rPr>
          <w:rFonts w:cs="Times New Roman"/>
          <w:lang w:eastAsia="zh-CN"/>
        </w:rPr>
        <w:t>当圆柱轴沿</w:t>
      </w:r>
      <w:r>
        <w:rPr>
          <w:rFonts w:cs="Times New Roman"/>
          <w:lang w:eastAsia="zh-CN"/>
        </w:rPr>
        <w:t>y</w:t>
      </w:r>
      <w:r>
        <w:rPr>
          <w:rFonts w:cs="Times New Roman"/>
          <w:lang w:eastAsia="zh-CN"/>
        </w:rPr>
        <w:t>方向时，接触线投影沿</w:t>
      </w:r>
      <w:r>
        <w:rPr>
          <w:rFonts w:cs="Times New Roman"/>
          <w:lang w:eastAsia="zh-CN"/>
        </w:rPr>
        <w:t>y</w:t>
      </w:r>
      <w:r>
        <w:rPr>
          <w:rFonts w:cs="Times New Roman"/>
          <w:lang w:eastAsia="zh-CN"/>
        </w:rPr>
        <w:t>方向延伸，垂直于接触线的强度轮廓主要编码焦点的</w:t>
      </w:r>
      <w:r>
        <w:rPr>
          <w:rFonts w:cs="Times New Roman"/>
          <w:lang w:eastAsia="zh-CN"/>
        </w:rPr>
        <w:t>x</w:t>
      </w:r>
      <w:r>
        <w:rPr>
          <w:rFonts w:cs="Times New Roman"/>
          <w:lang w:eastAsia="zh-CN"/>
        </w:rPr>
        <w:t>方向</w:t>
      </w:r>
      <w:r>
        <w:rPr>
          <w:rFonts w:cs="Times New Roman"/>
          <w:lang w:eastAsia="zh-CN"/>
        </w:rPr>
        <w:t>LSF</w:t>
      </w:r>
      <w:r>
        <w:rPr>
          <w:rFonts w:cs="Times New Roman"/>
          <w:lang w:eastAsia="zh-CN"/>
        </w:rPr>
        <w:t>。</w:t>
      </w:r>
      <w:r>
        <w:rPr>
          <w:rFonts w:cs="Times New Roman" w:hint="eastAsia"/>
          <w:lang w:eastAsia="zh-CN"/>
        </w:rPr>
        <w:t>不同</w:t>
      </w:r>
      <w:r>
        <w:rPr>
          <w:rFonts w:cs="Times New Roman"/>
          <w:lang w:eastAsia="zh-CN"/>
        </w:rPr>
        <w:t>方向可由坐标系绕中心射线旋转</w:t>
      </w:r>
      <w:r>
        <w:rPr>
          <w:rFonts w:cs="Times New Roman" w:hint="eastAsia"/>
          <w:lang w:eastAsia="zh-CN"/>
        </w:rPr>
        <w:t>不同角度</w:t>
      </w:r>
      <w:r>
        <w:rPr>
          <w:rFonts w:cs="Times New Roman"/>
          <w:lang w:eastAsia="zh-CN"/>
        </w:rPr>
        <w:t>等效描述。</w:t>
      </w:r>
    </w:p>
    <w:p w14:paraId="5A717BA2" w14:textId="77777777" w:rsidR="00144613" w:rsidRDefault="00144613" w:rsidP="00144613">
      <w:pPr>
        <w:ind w:firstLine="420"/>
        <w:jc w:val="center"/>
        <w:rPr>
          <w:lang w:eastAsia="zh-CN"/>
        </w:rPr>
      </w:pPr>
      <w:r>
        <w:rPr>
          <w:rFonts w:hint="eastAsia"/>
          <w:noProof/>
          <w:lang w:eastAsia="zh-CN"/>
        </w:rPr>
        <mc:AlternateContent>
          <mc:Choice Requires="wps">
            <w:drawing>
              <wp:anchor distT="0" distB="0" distL="114300" distR="114300" simplePos="0" relativeHeight="251658240" behindDoc="0" locked="0" layoutInCell="1" allowOverlap="1" wp14:anchorId="3FF68449" wp14:editId="6F3DB4C4">
                <wp:simplePos x="0" y="0"/>
                <wp:positionH relativeFrom="column">
                  <wp:posOffset>1649730</wp:posOffset>
                </wp:positionH>
                <wp:positionV relativeFrom="paragraph">
                  <wp:posOffset>1985010</wp:posOffset>
                </wp:positionV>
                <wp:extent cx="2600325" cy="1609725"/>
                <wp:effectExtent l="0" t="0" r="9525" b="9525"/>
                <wp:wrapTopAndBottom/>
                <wp:docPr id="2" name="矩形 2"/>
                <wp:cNvGraphicFramePr/>
                <a:graphic xmlns:a="http://schemas.openxmlformats.org/drawingml/2006/main">
                  <a:graphicData uri="http://schemas.microsoft.com/office/word/2010/wordprocessingShape">
                    <wps:wsp>
                      <wps:cNvSpPr/>
                      <wps:spPr>
                        <a:xfrm>
                          <a:off x="0" y="0"/>
                          <a:ext cx="2600325" cy="1609725"/>
                        </a:xfrm>
                        <a:prstGeom prst="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6985DCA2" w14:textId="77777777" w:rsidR="00144613" w:rsidRDefault="00144613" w:rsidP="00144613">
                            <w:pPr>
                              <w:jc w:val="center"/>
                              <w:rPr>
                                <w:lang w:eastAsia="zh-CN"/>
                              </w:rPr>
                            </w:pPr>
                            <w:r>
                              <w:rPr>
                                <w:rFonts w:hint="eastAsia"/>
                                <w:lang w:eastAsia="zh-CN"/>
                              </w:rPr>
                              <w:t>变量及参数表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F68449" id="矩形 2" o:spid="_x0000_s1026" style="position:absolute;left:0;text-align:left;margin-left:129.9pt;margin-top:156.3pt;width:204.75pt;height:12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XdFcAIAAFQFAAAOAAAAZHJzL2Uyb0RvYy54bWysVN9P2zAQfp+0/8Hy+0jaQRkVKapATJMQ&#10;VMDEs+vYrSXH59nXJt1fv7OTtozthWkvyZ3vl+/zd3d51TWWbVWIBlzFRyclZ8pJqI1bVfz78+2n&#10;L5xFFK4WFpyq+E5FfjX7+OGy9VM1hjXYWgVGSVyctr7ia0Q/LYoo16oR8QS8cmTUEBqBpIZVUQfR&#10;UvbGFuOynBQthNoHkCpGOr3pjXyW82utJD5oHRUyW3G6G+ZvyN9l+hazSzFdBeHXRg7XEP9wi0YY&#10;R0UPqW4ECrYJ5o9UjZEBImg8kdAUoLWRKvdA3YzKN908rYVXuRcCJ/oDTPH/pZX32ye/CARD6+M0&#10;kpi66HRo0p/ux7oM1u4AluqQSTocT8ry8/iMM0m20aS8OCeF8hTHcB8iflXQsCRUPNBrZJDE9i5i&#10;77p3SdUiWFPfGmuzkhigrm1gW0FvJ6RUDidDgd88rUv+DlJknzSdFMd+soQ7q5KfdY9KM1PntvpC&#10;YbVMdXpWEG2JJ3tuUDM5IDlqyv/O2CEkRatMxnfGH4JyfXB4iG+Mg5DBzKNyBMriaABJ9/57KHoA&#10;EhbYLbvhwZdQ7xbUOvSDEb28NfRWdyLiQgSaBMKCphsf6KMttBWHQeJsDeHn386TPxGUrJy1NFkV&#10;jz82IijO7DdH1L0YnZ6mUczK6dn5mJTw2rJ8bXGb5hqIACPaI15mMfmj3Ys6QPNCS2CeqpJJOEm1&#10;Ky4x7JVr7N+W1ohU83l2o/HzAu/ck5cpeQI4cfG5exHBD4RF4vo97KdQTN/wtvdNkQ7mGwRtMqkT&#10;xD2uA/Q0unkshjWTdsNrPXsdl+HsFwAAAP//AwBQSwMEFAAGAAgAAAAhAM6mXAjeAAAACwEAAA8A&#10;AABkcnMvZG93bnJldi54bWxMj0FPhDAQhe8m/odmTLy5BTbUBRk2xkSPGtH1XOgIRDoltLuL/956&#10;0uO8eXnve9V+tZM40eJHxwjpJgFB3Dkzco/w/vZ4swPhg2ajJ8eE8E0e9vXlRaVL4878Sqcm9CKG&#10;sC81whDCXErpu4Gs9hs3E8ffp1usDvFcemkWfY7hdpJZkihp9cixYdAzPQzUfTVHixD1Q7IrXj7c&#10;2t0+tc+HfNRNjnh9td7fgQi0hj8z/OJHdKgjU+uObLyYELK8iOgBYZtmCkR0KFVsQbQIuVIpyLqS&#10;/zfUPwAAAP//AwBQSwECLQAUAAYACAAAACEAtoM4kv4AAADhAQAAEwAAAAAAAAAAAAAAAAAAAAAA&#10;W0NvbnRlbnRfVHlwZXNdLnhtbFBLAQItABQABgAIAAAAIQA4/SH/1gAAAJQBAAALAAAAAAAAAAAA&#10;AAAAAC8BAABfcmVscy8ucmVsc1BLAQItABQABgAIAAAAIQCi5XdFcAIAAFQFAAAOAAAAAAAAAAAA&#10;AAAAAC4CAABkcnMvZTJvRG9jLnhtbFBLAQItABQABgAIAAAAIQDOplwI3gAAAAsBAAAPAAAAAAAA&#10;AAAAAAAAAMoEAABkcnMvZG93bnJldi54bWxQSwUGAAAAAAQABADzAAAA1QUAAAAA&#10;" fillcolor="#f79646 [3209]" stroked="f">
                <v:textbox>
                  <w:txbxContent>
                    <w:p w14:paraId="6985DCA2" w14:textId="77777777" w:rsidR="00144613" w:rsidRDefault="00144613" w:rsidP="00144613">
                      <w:pPr>
                        <w:jc w:val="center"/>
                        <w:rPr>
                          <w:lang w:eastAsia="zh-CN"/>
                        </w:rPr>
                      </w:pPr>
                      <w:r>
                        <w:rPr>
                          <w:rFonts w:hint="eastAsia"/>
                          <w:lang w:eastAsia="zh-CN"/>
                        </w:rPr>
                        <w:t>变量及参数表</w:t>
                      </w:r>
                    </w:p>
                  </w:txbxContent>
                </v:textbox>
                <w10:wrap type="topAndBottom"/>
              </v:rect>
            </w:pict>
          </mc:Fallback>
        </mc:AlternateContent>
      </w:r>
      <w:r>
        <w:rPr>
          <w:noProof/>
        </w:rPr>
        <w:drawing>
          <wp:inline distT="0" distB="0" distL="0" distR="0" wp14:anchorId="2D4CB1A6" wp14:editId="7247FD40">
            <wp:extent cx="2771775" cy="1884293"/>
            <wp:effectExtent l="0" t="0" r="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74982" cy="1886473"/>
                    </a:xfrm>
                    <a:prstGeom prst="rect">
                      <a:avLst/>
                    </a:prstGeom>
                  </pic:spPr>
                </pic:pic>
              </a:graphicData>
            </a:graphic>
          </wp:inline>
        </w:drawing>
      </w:r>
    </w:p>
    <w:p w14:paraId="4EA0E280" w14:textId="77777777" w:rsidR="00144613" w:rsidRDefault="00144613" w:rsidP="00144613">
      <w:pPr>
        <w:ind w:firstLine="420"/>
        <w:jc w:val="center"/>
        <w:rPr>
          <w:lang w:eastAsia="zh-CN"/>
        </w:rPr>
      </w:pPr>
    </w:p>
    <w:p w14:paraId="0D1E2185" w14:textId="77777777" w:rsidR="000B554E" w:rsidRDefault="00000000">
      <w:pPr>
        <w:pStyle w:val="21"/>
        <w:rPr>
          <w:lang w:eastAsia="zh-CN"/>
        </w:rPr>
      </w:pPr>
      <w:r>
        <w:rPr>
          <w:rFonts w:ascii="Arial" w:eastAsia="黑体" w:hAnsi="Arial" w:cs="Arial"/>
          <w:lang w:eastAsia="zh-CN"/>
        </w:rPr>
        <w:t xml:space="preserve">2.2 </w:t>
      </w:r>
      <w:r w:rsidR="00144613">
        <w:rPr>
          <w:rFonts w:ascii="Arial" w:eastAsia="黑体" w:hAnsi="Arial" w:cs="Arial" w:hint="eastAsia"/>
          <w:lang w:eastAsia="zh-CN"/>
        </w:rPr>
        <w:t>射线与</w:t>
      </w:r>
      <w:r>
        <w:rPr>
          <w:rFonts w:ascii="Arial" w:eastAsia="黑体" w:hAnsi="Arial" w:cs="Arial"/>
          <w:lang w:eastAsia="zh-CN"/>
        </w:rPr>
        <w:t>圆柱相交</w:t>
      </w:r>
      <w:r w:rsidR="00144613">
        <w:rPr>
          <w:rFonts w:ascii="Arial" w:eastAsia="黑体" w:hAnsi="Arial" w:cs="Arial" w:hint="eastAsia"/>
          <w:lang w:eastAsia="zh-CN"/>
        </w:rPr>
        <w:t>线段</w:t>
      </w:r>
      <w:r>
        <w:rPr>
          <w:rFonts w:ascii="Arial" w:eastAsia="黑体" w:hAnsi="Arial" w:cs="Arial"/>
          <w:lang w:eastAsia="zh-CN"/>
        </w:rPr>
        <w:t>模型</w:t>
      </w:r>
    </w:p>
    <w:p w14:paraId="57F896B3" w14:textId="77777777" w:rsidR="000B554E" w:rsidRDefault="00000000">
      <w:pPr>
        <w:ind w:firstLine="420"/>
        <w:jc w:val="both"/>
        <w:rPr>
          <w:lang w:eastAsia="zh-CN"/>
        </w:rPr>
      </w:pPr>
      <w:r>
        <w:rPr>
          <w:rFonts w:cs="Times New Roman"/>
          <w:lang w:eastAsia="zh-CN"/>
        </w:rPr>
        <w:t>设焦点参考面上的任意发射点和探测器面上的任意接收点分别由坐标三元组表示。由发射点指向接收点的方向向量及有限物理射线段可写为：</w:t>
      </w:r>
    </w:p>
    <w:tbl>
      <w:tblPr>
        <w:tblW w:w="8900" w:type="dxa"/>
        <w:tblBorders>
          <w:top w:val="nil"/>
          <w:left w:val="nil"/>
          <w:bottom w:val="nil"/>
          <w:right w:val="nil"/>
          <w:insideH w:val="nil"/>
          <w:insideV w:val="nil"/>
        </w:tblBorders>
        <w:tblLayout w:type="fixed"/>
        <w:tblLook w:val="04A0" w:firstRow="1" w:lastRow="0" w:firstColumn="1" w:lastColumn="0" w:noHBand="0" w:noVBand="1"/>
      </w:tblPr>
      <w:tblGrid>
        <w:gridCol w:w="8000"/>
        <w:gridCol w:w="900"/>
      </w:tblGrid>
      <w:tr w:rsidR="000B554E" w14:paraId="4B3617BE" w14:textId="77777777">
        <w:trPr>
          <w:cantSplit/>
        </w:trPr>
        <w:tc>
          <w:tcPr>
            <w:tcW w:w="8000" w:type="dxa"/>
            <w:tcMar>
              <w:top w:w="80" w:type="dxa"/>
              <w:left w:w="100" w:type="dxa"/>
              <w:bottom w:w="80" w:type="dxa"/>
              <w:right w:w="100" w:type="dxa"/>
            </w:tcMar>
            <w:vAlign w:val="center"/>
          </w:tcPr>
          <w:p w14:paraId="76BA3162" w14:textId="77777777" w:rsidR="000B554E" w:rsidRDefault="00000000">
            <w:pPr>
              <w:spacing w:before="40" w:after="40"/>
              <w:jc w:val="center"/>
            </w:pPr>
            <m:oMathPara>
              <m:oMath>
                <m:r>
                  <w:rPr>
                    <w:rFonts w:ascii="Cambria Math" w:hAnsi="Cambria Math"/>
                  </w:rPr>
                  <m:t>q=</m:t>
                </m:r>
                <m:sSub>
                  <m:sSubPr>
                    <m:ctrlPr>
                      <w:rPr>
                        <w:rFonts w:ascii="Cambria Math" w:hAnsi="Cambria Math"/>
                      </w:rPr>
                    </m:ctrlPr>
                  </m:sSubPr>
                  <m:e>
                    <m:r>
                      <w:rPr>
                        <w:rFonts w:ascii="Cambria Math" w:hAnsi="Cambria Math"/>
                      </w:rPr>
                      <m:t>P</m:t>
                    </m:r>
                  </m:e>
                  <m:sub>
                    <m:r>
                      <w:rPr>
                        <w:rFonts w:ascii="Cambria Math" w:hAnsi="Cambria Math"/>
                      </w:rPr>
                      <m:t>d</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s</m:t>
                    </m:r>
                  </m:sub>
                </m:sSub>
                <m:r>
                  <w:rPr>
                    <w:rFonts w:ascii="Cambria Math" w:hAnsi="Cambria Math"/>
                  </w:rPr>
                  <m:t>=</m:t>
                </m:r>
                <m:d>
                  <m:dPr>
                    <m:ctrlPr>
                      <w:rPr>
                        <w:rFonts w:ascii="Cambria Math" w:hAnsi="Cambria Math"/>
                      </w:rPr>
                    </m:ctrlPr>
                  </m:dPr>
                  <m:e>
                    <m:r>
                      <w:rPr>
                        <w:rFonts w:ascii="Cambria Math" w:hAnsi="Cambria Math"/>
                      </w:rPr>
                      <m:t>X-u,Y-v,D</m:t>
                    </m:r>
                  </m:e>
                </m:d>
              </m:oMath>
            </m:oMathPara>
          </w:p>
        </w:tc>
        <w:tc>
          <w:tcPr>
            <w:tcW w:w="900" w:type="dxa"/>
            <w:tcMar>
              <w:top w:w="80" w:type="dxa"/>
              <w:left w:w="100" w:type="dxa"/>
              <w:bottom w:w="80" w:type="dxa"/>
              <w:right w:w="100" w:type="dxa"/>
            </w:tcMar>
            <w:vAlign w:val="center"/>
          </w:tcPr>
          <w:p w14:paraId="60056D11" w14:textId="77777777" w:rsidR="000B554E" w:rsidRDefault="00000000">
            <w:pPr>
              <w:jc w:val="right"/>
            </w:pPr>
            <w:r>
              <w:t>(1)</w:t>
            </w:r>
          </w:p>
        </w:tc>
      </w:tr>
      <w:tr w:rsidR="000B554E" w14:paraId="1E21B9AB" w14:textId="77777777">
        <w:trPr>
          <w:cantSplit/>
        </w:trPr>
        <w:tc>
          <w:tcPr>
            <w:tcW w:w="8000" w:type="dxa"/>
            <w:tcMar>
              <w:top w:w="80" w:type="dxa"/>
              <w:left w:w="100" w:type="dxa"/>
              <w:bottom w:w="80" w:type="dxa"/>
              <w:right w:w="100" w:type="dxa"/>
            </w:tcMar>
            <w:vAlign w:val="center"/>
          </w:tcPr>
          <w:p w14:paraId="7539A372" w14:textId="77777777" w:rsidR="000B554E" w:rsidRDefault="00000000">
            <w:pPr>
              <w:spacing w:before="40" w:after="40"/>
              <w:jc w:val="center"/>
            </w:pPr>
            <m:oMathPara>
              <m:oMath>
                <m:r>
                  <m:rPr>
                    <m:sty m:val="p"/>
                  </m:rPr>
                  <w:rPr>
                    <w:rFonts w:ascii="Cambria Math" w:hAnsi="Cambria Math"/>
                  </w:rPr>
                  <m:t>r</m:t>
                </m:r>
                <m:d>
                  <m:dPr>
                    <m:ctrlPr>
                      <w:rPr>
                        <w:rFonts w:ascii="Cambria Math" w:hAnsi="Cambria Math"/>
                      </w:rPr>
                    </m:ctrlPr>
                  </m:dPr>
                  <m:e>
                    <m:r>
                      <w:rPr>
                        <w:rFonts w:ascii="Cambria Math" w:hAnsi="Cambria Math"/>
                      </w:rPr>
                      <m:t>λ</m:t>
                    </m:r>
                  </m:e>
                </m:d>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s</m:t>
                    </m:r>
                  </m:sub>
                </m:sSub>
                <m:r>
                  <w:rPr>
                    <w:rFonts w:ascii="Cambria Math" w:hAnsi="Cambria Math"/>
                  </w:rPr>
                  <m:t>+λq,0≤λ≤1</m:t>
                </m:r>
              </m:oMath>
            </m:oMathPara>
          </w:p>
        </w:tc>
        <w:tc>
          <w:tcPr>
            <w:tcW w:w="900" w:type="dxa"/>
            <w:tcMar>
              <w:top w:w="80" w:type="dxa"/>
              <w:left w:w="100" w:type="dxa"/>
              <w:bottom w:w="80" w:type="dxa"/>
              <w:right w:w="100" w:type="dxa"/>
            </w:tcMar>
            <w:vAlign w:val="center"/>
          </w:tcPr>
          <w:p w14:paraId="3F403AEF" w14:textId="77777777" w:rsidR="000B554E" w:rsidRDefault="00000000">
            <w:pPr>
              <w:jc w:val="right"/>
            </w:pPr>
            <w:r>
              <w:t>(2)</w:t>
            </w:r>
          </w:p>
        </w:tc>
      </w:tr>
    </w:tbl>
    <w:p>
      <w:pPr>
        <w:ind w:firstLine="420"/>
        <w:jc w:val="both"/>
        <w:rPr>
          <w:lang w:eastAsia="zh-CN"/>
        </w:rPr>
      </w:pPr>
      <w:r>
        <w:t>式（1）和式（2）中，</w:t>
      </w:r>
      <w:r>
        <w:rPr>
          <w:rFonts w:ascii="Cambria Math" w:hAnsi="Cambria Math"/>
          <w:i/>
        </w:rPr>
        <w:t>P</w:t>
      </w:r>
      <w:r>
        <w:rPr>
          <w:rFonts w:ascii="Cambria Math" w:hAnsi="Cambria Math"/>
          <w:i/>
          <w:vertAlign w:val="subscript"/>
        </w:rPr>
        <w:t>s</w:t>
      </w:r>
      <w:r>
        <w:t>=(</w:t>
      </w:r>
      <w:r>
        <w:rPr>
          <w:rFonts w:ascii="Cambria Math" w:hAnsi="Cambria Math"/>
          <w:i/>
        </w:rPr>
        <w:t>u</w:t>
      </w:r>
      <w:r>
        <w:t>,</w:t>
      </w:r>
      <w:r>
        <w:rPr>
          <w:rFonts w:ascii="Cambria Math" w:hAnsi="Cambria Math"/>
          <w:i/>
        </w:rPr>
        <w:t>v</w:t>
      </w:r>
      <w:r>
        <w:t>,0)为焦点参考面上发射点的位置向量，</w:t>
      </w:r>
      <w:r>
        <w:rPr>
          <w:rFonts w:ascii="Cambria Math" w:hAnsi="Cambria Math"/>
          <w:i/>
        </w:rPr>
        <w:t>P</w:t>
      </w:r>
      <w:r>
        <w:rPr>
          <w:rFonts w:ascii="Cambria Math" w:hAnsi="Cambria Math"/>
          <w:i/>
          <w:vertAlign w:val="subscript"/>
        </w:rPr>
        <w:t>d</w:t>
      </w:r>
      <w:r>
        <w:t>=(</w:t>
      </w:r>
      <w:r>
        <w:rPr>
          <w:rFonts w:ascii="Cambria Math" w:hAnsi="Cambria Math"/>
          <w:i/>
        </w:rPr>
        <w:t>X</w:t>
      </w:r>
      <w:r>
        <w:t>,</w:t>
      </w:r>
      <w:r>
        <w:rPr>
          <w:rFonts w:ascii="Cambria Math" w:hAnsi="Cambria Math"/>
          <w:i/>
        </w:rPr>
        <w:t>Y</w:t>
      </w:r>
      <w:r>
        <w:t>,</w:t>
      </w:r>
      <w:r>
        <w:rPr>
          <w:rFonts w:ascii="Cambria Math" w:hAnsi="Cambria Math"/>
          <w:i/>
        </w:rPr>
        <w:t>D</w:t>
      </w:r>
      <w:r>
        <w:t>)为探测器面上接收点的位置向量；</w:t>
      </w:r>
      <w:r>
        <w:rPr>
          <w:rFonts w:ascii="Cambria Math" w:hAnsi="Cambria Math"/>
          <w:i/>
        </w:rPr>
        <w:t>q</w:t>
      </w:r>
      <w:r>
        <w:t>为由发射点指向接收点的方向向量；</w:t>
      </w:r>
      <w:r>
        <w:rPr>
          <w:rFonts w:ascii="Cambria Math" w:hAnsi="Cambria Math"/>
          <w:i/>
        </w:rPr>
        <w:t>u</w:t>
      </w:r>
      <w:r>
        <w:t>、</w:t>
      </w:r>
      <w:r>
        <w:rPr>
          <w:rFonts w:ascii="Cambria Math" w:hAnsi="Cambria Math"/>
          <w:i/>
        </w:rPr>
        <w:t>v</w:t>
      </w:r>
      <w:r>
        <w:t>分别为发射点在焦点参考面内的两个坐标，</w:t>
      </w:r>
      <w:r>
        <w:rPr>
          <w:rFonts w:ascii="Cambria Math" w:hAnsi="Cambria Math"/>
          <w:i/>
        </w:rPr>
        <w:t>X</w:t>
      </w:r>
      <w:r>
        <w:t>、</w:t>
      </w:r>
      <w:r>
        <w:rPr>
          <w:rFonts w:ascii="Cambria Math" w:hAnsi="Cambria Math"/>
          <w:i/>
        </w:rPr>
        <w:t>Y</w:t>
      </w:r>
      <w:r>
        <w:t>分别为接收点在探测器面内的两个坐标，</w:t>
      </w:r>
      <w:r>
        <w:rPr>
          <w:rFonts w:ascii="Cambria Math" w:hAnsi="Cambria Math"/>
          <w:i/>
        </w:rPr>
        <w:t>D</w:t>
      </w:r>
      <w:r>
        <w:t>为焦点参考面与探测器面之间的距离；</w:t>
      </w:r>
      <w:r>
        <w:rPr>
          <w:rFonts w:ascii="Cambria Math" w:hAnsi="Cambria Math"/>
          <w:i/>
        </w:rPr>
        <w:t>r</w:t>
      </w:r>
      <w:r>
        <w:t>(</w:t>
      </w:r>
      <w:r>
        <w:rPr>
          <w:rFonts w:ascii="Cambria Math" w:hAnsi="Cambria Math"/>
          <w:i/>
        </w:rPr>
        <w:t>λ</w:t>
      </w:r>
      <w:r>
        <w:t>)为射线参数方程，</w:t>
      </w:r>
      <w:r>
        <w:rPr>
          <w:rFonts w:ascii="Cambria Math" w:hAnsi="Cambria Math"/>
          <w:i/>
        </w:rPr>
        <w:t>λ</w:t>
      </w:r>
      <w:r>
        <w:t>为从发射点到接收点的无量纲路径参数。</w:t>
      </w:r>
    </w:p>
    <w:p w14:paraId="0EDC9C9B" w14:textId="77777777" w:rsidR="000B554E" w:rsidRDefault="00000000">
      <w:pPr>
        <w:ind w:firstLine="420"/>
        <w:jc w:val="both"/>
        <w:rPr>
          <w:lang w:eastAsia="zh-CN"/>
        </w:rPr>
      </w:pPr>
      <w:r>
        <w:rPr>
          <w:rFonts w:cs="Times New Roman"/>
          <w:lang w:eastAsia="zh-CN"/>
        </w:rPr>
        <w:t>式（</w:t>
      </w:r>
      <w:r>
        <w:rPr>
          <w:rFonts w:cs="Times New Roman"/>
          <w:lang w:eastAsia="zh-CN"/>
        </w:rPr>
        <w:t>2</w:t>
      </w:r>
      <w:r>
        <w:rPr>
          <w:rFonts w:cs="Times New Roman"/>
          <w:lang w:eastAsia="zh-CN"/>
        </w:rPr>
        <w:t>）的参数从零到</w:t>
      </w:r>
      <w:proofErr w:type="gramStart"/>
      <w:r>
        <w:rPr>
          <w:rFonts w:cs="Times New Roman"/>
          <w:lang w:eastAsia="zh-CN"/>
        </w:rPr>
        <w:t>一</w:t>
      </w:r>
      <w:proofErr w:type="gramEnd"/>
      <w:r>
        <w:rPr>
          <w:rFonts w:cs="Times New Roman"/>
          <w:lang w:eastAsia="zh-CN"/>
        </w:rPr>
        <w:t>依次描述焦点至探测器的有限射线段，因此可排除其两端外侧的无限直线。第</w:t>
      </w:r>
      <w:proofErr w:type="spellStart"/>
      <w:r>
        <w:rPr>
          <w:rFonts w:cs="Times New Roman"/>
          <w:lang w:eastAsia="zh-CN"/>
        </w:rPr>
        <w:t>i</w:t>
      </w:r>
      <w:proofErr w:type="spellEnd"/>
      <w:r>
        <w:rPr>
          <w:rFonts w:cs="Times New Roman"/>
          <w:lang w:eastAsia="zh-CN"/>
        </w:rPr>
        <w:t>根圆柱在研究区域内按轴向无限延伸处理，因此只需满足</w:t>
      </w:r>
      <w:r>
        <w:rPr>
          <w:rFonts w:cs="Times New Roman"/>
          <w:lang w:eastAsia="zh-CN"/>
        </w:rPr>
        <w:t>x-z</w:t>
      </w:r>
      <w:r>
        <w:rPr>
          <w:rFonts w:cs="Times New Roman"/>
          <w:lang w:eastAsia="zh-CN"/>
        </w:rPr>
        <w:t>截面内的径向条件：</w:t>
      </w:r>
    </w:p>
    <w:tbl>
      <w:tblPr>
        <w:tblW w:w="8900" w:type="dxa"/>
        <w:tblBorders>
          <w:top w:val="nil"/>
          <w:left w:val="nil"/>
          <w:bottom w:val="nil"/>
          <w:right w:val="nil"/>
          <w:insideH w:val="nil"/>
          <w:insideV w:val="nil"/>
        </w:tblBorders>
        <w:tblLayout w:type="fixed"/>
        <w:tblLook w:val="04A0" w:firstRow="1" w:lastRow="0" w:firstColumn="1" w:lastColumn="0" w:noHBand="0" w:noVBand="1"/>
      </w:tblPr>
      <w:tblGrid>
        <w:gridCol w:w="8000"/>
        <w:gridCol w:w="900"/>
      </w:tblGrid>
      <w:tr w:rsidR="000B554E" w14:paraId="1DE614BB" w14:textId="77777777">
        <w:trPr>
          <w:cantSplit/>
        </w:trPr>
        <w:tc>
          <w:tcPr>
            <w:tcW w:w="8000" w:type="dxa"/>
            <w:tcMar>
              <w:top w:w="80" w:type="dxa"/>
              <w:left w:w="100" w:type="dxa"/>
              <w:bottom w:w="80" w:type="dxa"/>
              <w:right w:w="100" w:type="dxa"/>
            </w:tcMar>
            <w:vAlign w:val="center"/>
          </w:tcPr>
          <w:p w14:paraId="4070A4B9" w14:textId="77777777" w:rsidR="000B554E" w:rsidRDefault="00000000">
            <w:pPr>
              <w:spacing w:before="40" w:after="40"/>
              <w:jc w:val="center"/>
            </w:pPr>
            <m:oMathPara>
              <m:oMath>
                <m:sSup>
                  <m:sSupPr>
                    <m:ctrlPr>
                      <w:rPr>
                        <w:rFonts w:ascii="Cambria Math" w:hAnsi="Cambria Math"/>
                      </w:rPr>
                    </m:ctrlPr>
                  </m:sSupPr>
                  <m:e>
                    <m:r>
                      <w:rPr>
                        <w:rFonts w:ascii="Cambria Math" w:hAnsi="Cambria Math"/>
                      </w:rPr>
                      <m:t>(x-</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(z-a)</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R</m:t>
                    </m:r>
                  </m:e>
                  <m:sup>
                    <m:r>
                      <w:rPr>
                        <w:rFonts w:ascii="Cambria Math" w:hAnsi="Cambria Math"/>
                      </w:rPr>
                      <m:t>2</m:t>
                    </m:r>
                  </m:sup>
                </m:sSup>
              </m:oMath>
            </m:oMathPara>
          </w:p>
        </w:tc>
        <w:tc>
          <w:tcPr>
            <w:tcW w:w="900" w:type="dxa"/>
            <w:tcMar>
              <w:top w:w="80" w:type="dxa"/>
              <w:left w:w="100" w:type="dxa"/>
              <w:bottom w:w="80" w:type="dxa"/>
              <w:right w:w="100" w:type="dxa"/>
            </w:tcMar>
            <w:vAlign w:val="center"/>
          </w:tcPr>
          <w:p w14:paraId="3C6C32CF" w14:textId="77777777" w:rsidR="000B554E" w:rsidRDefault="00000000">
            <w:pPr>
              <w:jc w:val="right"/>
            </w:pPr>
            <w:r>
              <w:t>(3)</w:t>
            </w:r>
          </w:p>
        </w:tc>
      </w:tr>
    </w:tbl>
    <w:p>
      <w:pPr>
        <w:ind w:firstLine="420"/>
        <w:jc w:val="both"/>
        <w:rPr>
          <w:lang w:eastAsia="zh-CN"/>
        </w:rPr>
      </w:pPr>
      <w:r>
        <w:t>式（3）中，</w:t>
      </w:r>
      <w:r>
        <w:rPr>
          <w:rFonts w:ascii="Cambria Math" w:hAnsi="Cambria Math"/>
          <w:i/>
        </w:rPr>
        <w:t>x</w:t>
      </w:r>
      <w:r>
        <w:t>和</w:t>
      </w:r>
      <w:r>
        <w:rPr>
          <w:rFonts w:ascii="Cambria Math" w:hAnsi="Cambria Math"/>
          <w:i/>
        </w:rPr>
        <w:t>z</w:t>
      </w:r>
      <w:r>
        <w:t>分别为射线上任一点的横向坐标和源—探测器方向坐标；</w:t>
      </w:r>
      <w:r>
        <w:rPr>
          <w:rFonts w:ascii="Cambria Math" w:hAnsi="Cambria Math"/>
          <w:i/>
        </w:rPr>
        <w:t>x</w:t>
      </w:r>
      <w:r>
        <w:rPr>
          <w:rFonts w:ascii="Cambria Math" w:hAnsi="Cambria Math"/>
          <w:i/>
          <w:vertAlign w:val="subscript"/>
        </w:rPr>
        <w:t>i</w:t>
      </w:r>
      <w:r>
        <w:t>为第</w:t>
      </w:r>
      <w:r>
        <w:rPr>
          <w:rFonts w:ascii="Cambria Math" w:hAnsi="Cambria Math"/>
          <w:i/>
        </w:rPr>
        <w:t>i</w:t>
      </w:r>
      <w:r>
        <w:t>根圆柱轴线的横向坐标，</w:t>
      </w:r>
      <w:r>
        <w:rPr>
          <w:rFonts w:ascii="Cambria Math" w:hAnsi="Cambria Math"/>
          <w:i/>
        </w:rPr>
        <w:t>a</w:t>
      </w:r>
      <w:r>
        <w:t>为圆柱中心面到焦点参考面的距离，</w:t>
      </w:r>
      <w:r>
        <w:rPr>
          <w:rFonts w:ascii="Cambria Math" w:hAnsi="Cambria Math"/>
          <w:i/>
        </w:rPr>
        <w:t>R</w:t>
      </w:r>
      <w:r>
        <w:t>为圆柱半径，</w:t>
      </w:r>
      <w:r>
        <w:rPr>
          <w:rFonts w:ascii="Cambria Math" w:hAnsi="Cambria Math"/>
          <w:i/>
        </w:rPr>
        <w:t>i</w:t>
      </w:r>
      <w:r>
        <w:t>∈{1,2}为圆柱编号。</w:t>
      </w:r>
    </w:p>
    <w:p w14:paraId="1EB60222" w14:textId="77777777" w:rsidR="000B554E" w:rsidRDefault="00000000">
      <w:pPr>
        <w:ind w:firstLine="420"/>
        <w:jc w:val="both"/>
        <w:rPr>
          <w:lang w:eastAsia="zh-CN"/>
        </w:rPr>
      </w:pPr>
      <w:r>
        <w:rPr>
          <w:rFonts w:cs="Times New Roman"/>
          <w:lang w:eastAsia="zh-CN"/>
        </w:rPr>
        <w:t>将式（</w:t>
      </w:r>
      <w:r>
        <w:rPr>
          <w:rFonts w:cs="Times New Roman"/>
          <w:lang w:eastAsia="zh-CN"/>
        </w:rPr>
        <w:t>2</w:t>
      </w:r>
      <w:r>
        <w:rPr>
          <w:rFonts w:cs="Times New Roman"/>
          <w:lang w:eastAsia="zh-CN"/>
        </w:rPr>
        <w:t>）代入圆柱径向边界，可得到关于</w:t>
      </w:r>
      <w:r>
        <w:rPr>
          <w:rFonts w:cs="Times New Roman"/>
        </w:rPr>
        <w:t>λ</w:t>
      </w:r>
      <w:r>
        <w:rPr>
          <w:rFonts w:cs="Times New Roman"/>
          <w:lang w:eastAsia="zh-CN"/>
        </w:rPr>
        <w:t>的二次方程：</w:t>
      </w:r>
    </w:p>
    <w:tbl>
      <w:tblPr>
        <w:tblW w:w="8900" w:type="dxa"/>
        <w:tblBorders>
          <w:top w:val="nil"/>
          <w:left w:val="nil"/>
          <w:bottom w:val="nil"/>
          <w:right w:val="nil"/>
          <w:insideH w:val="nil"/>
          <w:insideV w:val="nil"/>
        </w:tblBorders>
        <w:tblLayout w:type="fixed"/>
        <w:tblLook w:val="04A0" w:firstRow="1" w:lastRow="0" w:firstColumn="1" w:lastColumn="0" w:noHBand="0" w:noVBand="1"/>
      </w:tblPr>
      <w:tblGrid>
        <w:gridCol w:w="8000"/>
        <w:gridCol w:w="900"/>
      </w:tblGrid>
      <w:tr w:rsidR="000B554E" w14:paraId="3707F36D" w14:textId="77777777">
        <w:trPr>
          <w:cantSplit/>
        </w:trPr>
        <w:tc>
          <w:tcPr>
            <w:tcW w:w="8000" w:type="dxa"/>
            <w:tcMar>
              <w:top w:w="80" w:type="dxa"/>
              <w:left w:w="100" w:type="dxa"/>
              <w:bottom w:w="80" w:type="dxa"/>
              <w:right w:w="100" w:type="dxa"/>
            </w:tcMar>
            <w:vAlign w:val="center"/>
          </w:tcPr>
          <w:p w14:paraId="477C8EAB" w14:textId="77777777" w:rsidR="000B554E" w:rsidRDefault="00000000">
            <w:pPr>
              <w:spacing w:before="40" w:after="40"/>
              <w:jc w:val="center"/>
            </w:pPr>
            <m:oMathPara>
              <m:oMath>
                <m:r>
                  <w:rPr>
                    <w:rFonts w:ascii="Cambria Math" w:hAnsi="Cambria Math"/>
                  </w:rPr>
                  <m:t>A</m:t>
                </m:r>
                <m:sSup>
                  <m:sSupPr>
                    <m:ctrlPr>
                      <w:rPr>
                        <w:rFonts w:ascii="Cambria Math" w:hAnsi="Cambria Math"/>
                      </w:rPr>
                    </m:ctrlPr>
                  </m:sSupPr>
                  <m:e>
                    <m:r>
                      <w:rPr>
                        <w:rFonts w:ascii="Cambria Math" w:hAnsi="Cambria Math"/>
                      </w:rPr>
                      <m:t>λ</m:t>
                    </m:r>
                  </m:e>
                  <m:sup>
                    <m:r>
                      <w:rPr>
                        <w:rFonts w:ascii="Cambria Math" w:hAnsi="Cambria Math"/>
                      </w:rPr>
                      <m:t>2</m:t>
                    </m:r>
                  </m:sup>
                </m:sSup>
                <m: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i</m:t>
                    </m:r>
                  </m:sub>
                </m:sSub>
                <m:r>
                  <w:rPr>
                    <w:rFonts w:ascii="Cambria Math" w:hAnsi="Cambria Math"/>
                  </w:rPr>
                  <m:t>λ+</m:t>
                </m:r>
                <m:sSub>
                  <m:sSubPr>
                    <m:ctrlPr>
                      <w:rPr>
                        <w:rFonts w:ascii="Cambria Math" w:hAnsi="Cambria Math"/>
                      </w:rPr>
                    </m:ctrlPr>
                  </m:sSubPr>
                  <m:e>
                    <m:r>
                      <w:rPr>
                        <w:rFonts w:ascii="Cambria Math" w:hAnsi="Cambria Math"/>
                      </w:rPr>
                      <m:t>C</m:t>
                    </m:r>
                  </m:e>
                  <m:sub>
                    <m:r>
                      <w:rPr>
                        <w:rFonts w:ascii="Cambria Math" w:hAnsi="Cambria Math"/>
                      </w:rPr>
                      <m:t>i</m:t>
                    </m:r>
                  </m:sub>
                </m:sSub>
                <m:r>
                  <w:rPr>
                    <w:rFonts w:ascii="Cambria Math" w:hAnsi="Cambria Math"/>
                  </w:rPr>
                  <m:t>=0</m:t>
                </m:r>
              </m:oMath>
            </m:oMathPara>
          </w:p>
        </w:tc>
        <w:tc>
          <w:tcPr>
            <w:tcW w:w="900" w:type="dxa"/>
            <w:tcMar>
              <w:top w:w="80" w:type="dxa"/>
              <w:left w:w="100" w:type="dxa"/>
              <w:bottom w:w="80" w:type="dxa"/>
              <w:right w:w="100" w:type="dxa"/>
            </w:tcMar>
            <w:vAlign w:val="center"/>
          </w:tcPr>
          <w:p w14:paraId="107A186E" w14:textId="77777777" w:rsidR="000B554E" w:rsidRDefault="00000000">
            <w:pPr>
              <w:jc w:val="right"/>
            </w:pPr>
            <w:r>
              <w:t>(4)</w:t>
            </w:r>
          </w:p>
        </w:tc>
      </w:tr>
      <w:tr w:rsidR="000B554E" w14:paraId="2726613B" w14:textId="77777777">
        <w:trPr>
          <w:cantSplit/>
        </w:trPr>
        <w:tc>
          <w:tcPr>
            <w:tcW w:w="8000" w:type="dxa"/>
            <w:tcMar>
              <w:top w:w="80" w:type="dxa"/>
              <w:left w:w="100" w:type="dxa"/>
              <w:bottom w:w="80" w:type="dxa"/>
              <w:right w:w="100" w:type="dxa"/>
            </w:tcMar>
            <w:vAlign w:val="center"/>
          </w:tcPr>
          <w:p w14:paraId="471270AB" w14:textId="77777777" w:rsidR="000B554E" w:rsidRDefault="00000000">
            <w:pPr>
              <w:spacing w:before="40" w:after="40"/>
              <w:jc w:val="center"/>
            </w:pPr>
            <m:oMathPara>
              <m:oMath>
                <m:m>
                  <m:mPr>
                    <m:plcHide m:val="1"/>
                    <m:mcs>
                      <m:mc>
                        <m:mcPr>
                          <m:count m:val="3"/>
                          <m:mcJc m:val="center"/>
                        </m:mcPr>
                      </m:mc>
                    </m:mcs>
                    <m:ctrlPr>
                      <w:rPr>
                        <w:rFonts w:ascii="Cambria Math" w:hAnsi="Cambria Math"/>
                      </w:rPr>
                    </m:ctrlPr>
                  </m:mPr>
                  <m:mr>
                    <m:e>
                      <m:r>
                        <w:rPr>
                          <w:rFonts w:ascii="Cambria Math" w:hAnsi="Cambria Math"/>
                        </w:rPr>
                        <m:t>A</m:t>
                      </m:r>
                    </m:e>
                    <m:e>
                      <m:r>
                        <w:rPr>
                          <w:rFonts w:ascii="Cambria Math" w:hAnsi="Cambria Math"/>
                        </w:rPr>
                        <m:t>=</m:t>
                      </m:r>
                    </m:e>
                    <m:e>
                      <m:sSup>
                        <m:sSupPr>
                          <m:ctrlPr>
                            <w:rPr>
                              <w:rFonts w:ascii="Cambria Math" w:hAnsi="Cambria Math"/>
                            </w:rPr>
                          </m:ctrlPr>
                        </m:sSupPr>
                        <m:e>
                          <m:d>
                            <m:dPr>
                              <m:ctrlPr>
                                <w:rPr>
                                  <w:rFonts w:ascii="Cambria Math" w:hAnsi="Cambria Math"/>
                                </w:rPr>
                              </m:ctrlPr>
                            </m:dPr>
                            <m:e>
                              <m:r>
                                <w:rPr>
                                  <w:rFonts w:ascii="Cambria Math" w:hAnsi="Cambria Math"/>
                                </w:rPr>
                                <m:t>X-u</m:t>
                              </m:r>
                            </m:e>
                          </m:d>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D</m:t>
                          </m:r>
                        </m:e>
                        <m:sup>
                          <m:r>
                            <w:rPr>
                              <w:rFonts w:ascii="Cambria Math" w:hAnsi="Cambria Math"/>
                            </w:rPr>
                            <m:t>2</m:t>
                          </m:r>
                        </m:sup>
                      </m:sSup>
                    </m:e>
                  </m:mr>
                  <m:mr>
                    <m:e>
                      <m:sSub>
                        <m:sSubPr>
                          <m:ctrlPr>
                            <w:rPr>
                              <w:rFonts w:ascii="Cambria Math" w:hAnsi="Cambria Math"/>
                            </w:rPr>
                          </m:ctrlPr>
                        </m:sSubPr>
                        <m:e>
                          <m:r>
                            <w:rPr>
                              <w:rFonts w:ascii="Cambria Math" w:hAnsi="Cambria Math"/>
                            </w:rPr>
                            <m:t>B</m:t>
                          </m:r>
                        </m:e>
                        <m:sub>
                          <m:r>
                            <w:rPr>
                              <w:rFonts w:ascii="Cambria Math" w:hAnsi="Cambria Math"/>
                            </w:rPr>
                            <m:t>i</m:t>
                          </m:r>
                        </m:sub>
                      </m:sSub>
                    </m:e>
                    <m:e>
                      <m:r>
                        <w:rPr>
                          <w:rFonts w:ascii="Cambria Math" w:hAnsi="Cambria Math"/>
                        </w:rPr>
                        <m:t>=</m:t>
                      </m:r>
                    </m:e>
                    <m:e>
                      <m:r>
                        <w:rPr>
                          <w:rFonts w:ascii="Cambria Math" w:hAnsi="Cambria Math"/>
                        </w:rPr>
                        <m:t>2</m:t>
                      </m:r>
                      <m:d>
                        <m:dPr>
                          <m:ctrlPr>
                            <w:rPr>
                              <w:rFonts w:ascii="Cambria Math" w:hAnsi="Cambria Math"/>
                            </w:rPr>
                          </m:ctrlPr>
                        </m:dPr>
                        <m:e>
                          <m:d>
                            <m:dPr>
                              <m:ctrlPr>
                                <w:rPr>
                                  <w:rFonts w:ascii="Cambria Math" w:hAnsi="Cambria Math"/>
                                </w:rPr>
                              </m:ctrlPr>
                            </m:dPr>
                            <m:e>
                              <m:r>
                                <w:rPr>
                                  <w:rFonts w:ascii="Cambria Math" w:hAnsi="Cambria Math"/>
                                </w:rPr>
                                <m:t>u-</m:t>
                              </m:r>
                              <m:sSub>
                                <m:sSubPr>
                                  <m:ctrlPr>
                                    <w:rPr>
                                      <w:rFonts w:ascii="Cambria Math" w:hAnsi="Cambria Math"/>
                                    </w:rPr>
                                  </m:ctrlPr>
                                </m:sSubPr>
                                <m:e>
                                  <m:r>
                                    <w:rPr>
                                      <w:rFonts w:ascii="Cambria Math" w:hAnsi="Cambria Math"/>
                                    </w:rPr>
                                    <m:t>x</m:t>
                                  </m:r>
                                </m:e>
                                <m:sub>
                                  <m:r>
                                    <w:rPr>
                                      <w:rFonts w:ascii="Cambria Math" w:hAnsi="Cambria Math"/>
                                    </w:rPr>
                                    <m:t>i</m:t>
                                  </m:r>
                                </m:sub>
                              </m:sSub>
                            </m:e>
                          </m:d>
                          <m:d>
                            <m:dPr>
                              <m:ctrlPr>
                                <w:rPr>
                                  <w:rFonts w:ascii="Cambria Math" w:hAnsi="Cambria Math"/>
                                </w:rPr>
                              </m:ctrlPr>
                            </m:dPr>
                            <m:e>
                              <m:r>
                                <w:rPr>
                                  <w:rFonts w:ascii="Cambria Math" w:hAnsi="Cambria Math"/>
                                </w:rPr>
                                <m:t>X-u</m:t>
                              </m:r>
                            </m:e>
                          </m:d>
                          <m:r>
                            <w:rPr>
                              <w:rFonts w:ascii="Cambria Math" w:hAnsi="Cambria Math"/>
                            </w:rPr>
                            <m:t>-aD</m:t>
                          </m:r>
                        </m:e>
                      </m:d>
                    </m:e>
                  </m:mr>
                  <m:mr>
                    <m:e>
                      <m:sSub>
                        <m:sSubPr>
                          <m:ctrlPr>
                            <w:rPr>
                              <w:rFonts w:ascii="Cambria Math" w:hAnsi="Cambria Math"/>
                            </w:rPr>
                          </m:ctrlPr>
                        </m:sSubPr>
                        <m:e>
                          <m:r>
                            <w:rPr>
                              <w:rFonts w:ascii="Cambria Math" w:hAnsi="Cambria Math"/>
                            </w:rPr>
                            <m:t>C</m:t>
                          </m:r>
                        </m:e>
                        <m:sub>
                          <m:r>
                            <w:rPr>
                              <w:rFonts w:ascii="Cambria Math" w:hAnsi="Cambria Math"/>
                            </w:rPr>
                            <m:t>i</m:t>
                          </m:r>
                        </m:sub>
                      </m:sSub>
                    </m:e>
                    <m:e>
                      <m:r>
                        <w:rPr>
                          <w:rFonts w:ascii="Cambria Math" w:hAnsi="Cambria Math"/>
                        </w:rPr>
                        <m:t>=</m:t>
                      </m:r>
                    </m:e>
                    <m:e>
                      <m:sSup>
                        <m:sSupPr>
                          <m:ctrlPr>
                            <w:rPr>
                              <w:rFonts w:ascii="Cambria Math" w:hAnsi="Cambria Math"/>
                            </w:rPr>
                          </m:ctrlPr>
                        </m:sSupPr>
                        <m:e>
                          <m:d>
                            <m:dPr>
                              <m:ctrlPr>
                                <w:rPr>
                                  <w:rFonts w:ascii="Cambria Math" w:hAnsi="Cambria Math"/>
                                </w:rPr>
                              </m:ctrlPr>
                            </m:dPr>
                            <m:e>
                              <m:r>
                                <w:rPr>
                                  <w:rFonts w:ascii="Cambria Math" w:hAnsi="Cambria Math"/>
                                </w:rPr>
                                <m:t>u-</m:t>
                              </m:r>
                              <m:sSub>
                                <m:sSubPr>
                                  <m:ctrlPr>
                                    <w:rPr>
                                      <w:rFonts w:ascii="Cambria Math" w:hAnsi="Cambria Math"/>
                                    </w:rPr>
                                  </m:ctrlPr>
                                </m:sSubPr>
                                <m:e>
                                  <m:r>
                                    <w:rPr>
                                      <w:rFonts w:ascii="Cambria Math" w:hAnsi="Cambria Math"/>
                                    </w:rPr>
                                    <m:t>x</m:t>
                                  </m:r>
                                </m:e>
                                <m:sub>
                                  <m:r>
                                    <w:rPr>
                                      <w:rFonts w:ascii="Cambria Math" w:hAnsi="Cambria Math"/>
                                    </w:rPr>
                                    <m:t>i</m:t>
                                  </m:r>
                                </m:sub>
                              </m:sSub>
                            </m:e>
                          </m:d>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R</m:t>
                          </m:r>
                        </m:e>
                        <m:sup>
                          <m:r>
                            <w:rPr>
                              <w:rFonts w:ascii="Cambria Math" w:hAnsi="Cambria Math"/>
                            </w:rPr>
                            <m:t>2</m:t>
                          </m:r>
                        </m:sup>
                      </m:sSup>
                    </m:e>
                  </m:mr>
                </m:m>
              </m:oMath>
            </m:oMathPara>
          </w:p>
        </w:tc>
        <w:tc>
          <w:tcPr>
            <w:tcW w:w="900" w:type="dxa"/>
            <w:tcMar>
              <w:top w:w="80" w:type="dxa"/>
              <w:left w:w="100" w:type="dxa"/>
              <w:bottom w:w="80" w:type="dxa"/>
              <w:right w:w="100" w:type="dxa"/>
            </w:tcMar>
            <w:vAlign w:val="center"/>
          </w:tcPr>
          <w:p w14:paraId="29792252" w14:textId="77777777" w:rsidR="000B554E" w:rsidRDefault="00000000">
            <w:pPr>
              <w:jc w:val="right"/>
            </w:pPr>
            <w:r>
              <w:t>(5)</w:t>
            </w:r>
          </w:p>
        </w:tc>
      </w:tr>
    </w:tbl>
    <w:p>
      <w:pPr>
        <w:ind w:firstLine="420"/>
        <w:jc w:val="both"/>
        <w:rPr>
          <w:lang w:eastAsia="zh-CN"/>
        </w:rPr>
      </w:pPr>
      <w:r>
        <w:t>式（4）和式（5）中，</w:t>
      </w:r>
      <w:r>
        <w:rPr>
          <w:rFonts w:ascii="Cambria Math" w:hAnsi="Cambria Math"/>
          <w:i/>
        </w:rPr>
        <w:t>A</w:t>
      </w:r>
      <w:r>
        <w:t>、</w:t>
      </w:r>
      <w:r>
        <w:rPr>
          <w:rFonts w:ascii="Cambria Math" w:hAnsi="Cambria Math"/>
          <w:i/>
        </w:rPr>
        <w:t>B</w:t>
      </w:r>
      <w:r>
        <w:rPr>
          <w:rFonts w:ascii="Cambria Math" w:hAnsi="Cambria Math"/>
          <w:i/>
          <w:vertAlign w:val="subscript"/>
        </w:rPr>
        <w:t>i</w:t>
      </w:r>
      <w:r>
        <w:t>和</w:t>
      </w:r>
      <w:r>
        <w:rPr>
          <w:rFonts w:ascii="Cambria Math" w:hAnsi="Cambria Math"/>
          <w:i/>
        </w:rPr>
        <w:t>C</w:t>
      </w:r>
      <w:r>
        <w:rPr>
          <w:rFonts w:ascii="Cambria Math" w:hAnsi="Cambria Math"/>
          <w:i/>
          <w:vertAlign w:val="subscript"/>
        </w:rPr>
        <w:t>i</w:t>
      </w:r>
      <w:r>
        <w:t>为将射线参数方程代入第</w:t>
      </w:r>
      <w:r>
        <w:rPr>
          <w:rFonts w:ascii="Cambria Math" w:hAnsi="Cambria Math"/>
          <w:i/>
        </w:rPr>
        <w:t>i</w:t>
      </w:r>
      <w:r>
        <w:t>根圆柱径向边界后所得二次方程的系数；</w:t>
      </w:r>
      <w:r>
        <w:rPr>
          <w:rFonts w:ascii="Cambria Math" w:hAnsi="Cambria Math"/>
          <w:i/>
        </w:rPr>
        <w:t>λ</w:t>
      </w:r>
      <w:r>
        <w:t>为式（2）定义的射线参数，其余几何量的含义与前文一致。</w:t>
      </w:r>
    </w:p>
    <w:p w14:paraId="066CEC2E" w14:textId="77777777" w:rsidR="000B554E" w:rsidRDefault="00000000">
      <w:pPr>
        <w:ind w:firstLine="420"/>
        <w:jc w:val="both"/>
        <w:rPr>
          <w:lang w:eastAsia="zh-CN"/>
        </w:rPr>
      </w:pPr>
      <w:r>
        <w:rPr>
          <w:rFonts w:cs="Times New Roman"/>
          <w:lang w:eastAsia="zh-CN"/>
        </w:rPr>
        <w:t>由二次方程的一般判别准则可知：判别式小于零时，射线与第</w:t>
      </w:r>
      <w:proofErr w:type="spellStart"/>
      <w:r>
        <w:rPr>
          <w:rFonts w:cs="Times New Roman"/>
          <w:lang w:eastAsia="zh-CN"/>
        </w:rPr>
        <w:t>i</w:t>
      </w:r>
      <w:proofErr w:type="spellEnd"/>
      <w:r>
        <w:rPr>
          <w:rFonts w:cs="Times New Roman"/>
          <w:lang w:eastAsia="zh-CN"/>
        </w:rPr>
        <w:t>根圆柱不相交；判别式非负时，径向进入参数和离开参数为：</w:t>
      </w:r>
    </w:p>
    <w:tbl>
      <w:tblPr>
        <w:tblW w:w="8900" w:type="dxa"/>
        <w:tblBorders>
          <w:top w:val="nil"/>
          <w:left w:val="nil"/>
          <w:bottom w:val="nil"/>
          <w:right w:val="nil"/>
          <w:insideH w:val="nil"/>
          <w:insideV w:val="nil"/>
        </w:tblBorders>
        <w:tblLayout w:type="fixed"/>
        <w:tblLook w:val="04A0" w:firstRow="1" w:lastRow="0" w:firstColumn="1" w:lastColumn="0" w:noHBand="0" w:noVBand="1"/>
      </w:tblPr>
      <w:tblGrid>
        <w:gridCol w:w="8000"/>
        <w:gridCol w:w="900"/>
      </w:tblGrid>
      <w:tr w:rsidR="000B554E" w14:paraId="5FCDCD4A" w14:textId="77777777">
        <w:trPr>
          <w:cantSplit/>
        </w:trPr>
        <w:tc>
          <w:tcPr>
            <w:tcW w:w="8000" w:type="dxa"/>
            <w:tcMar>
              <w:top w:w="80" w:type="dxa"/>
              <w:left w:w="100" w:type="dxa"/>
              <w:bottom w:w="80" w:type="dxa"/>
              <w:right w:w="100" w:type="dxa"/>
            </w:tcMar>
            <w:vAlign w:val="center"/>
          </w:tcPr>
          <w:p w14:paraId="1BAD48BA" w14:textId="77777777" w:rsidR="000B554E" w:rsidRDefault="00000000">
            <w:pPr>
              <w:spacing w:before="40" w:after="40"/>
              <w:jc w:val="center"/>
            </w:pPr>
            <m:oMathPara>
              <m:oMath>
                <m:sSub>
                  <m:sSubPr>
                    <m:ctrlPr>
                      <w:rPr>
                        <w:rFonts w:ascii="Cambria Math" w:hAnsi="Cambria Math"/>
                      </w:rPr>
                    </m:ctrlPr>
                  </m:sSubPr>
                  <m:e>
                    <m:r>
                      <w:rPr>
                        <w:rFonts w:ascii="Cambria Math" w:hAnsi="Cambria Math"/>
                      </w:rPr>
                      <m:t>λ</m:t>
                    </m:r>
                  </m:e>
                  <m:sub>
                    <m:r>
                      <w:rPr>
                        <w:rFonts w:ascii="Cambria Math" w:hAnsi="Cambria Math"/>
                      </w:rPr>
                      <m:t>r,i,±</m:t>
                    </m:r>
                  </m:sub>
                </m:sSub>
                <m:r>
                  <w:rPr>
                    <w:rFonts w:ascii="Cambria Math" w:hAnsi="Cambria Math"/>
                  </w:rPr>
                  <m:t>=</m:t>
                </m:r>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i</m:t>
                        </m:r>
                      </m:sub>
                    </m:sSub>
                    <m:r>
                      <w:rPr>
                        <w:rFonts w:ascii="Cambria Math" w:hAnsi="Cambria Math"/>
                      </w:rPr>
                      <m:t>±</m:t>
                    </m:r>
                    <m:rad>
                      <m:radPr>
                        <m:degHide m:val="1"/>
                        <m:ctrlPr>
                          <w:rPr>
                            <w:rFonts w:ascii="Cambria Math" w:hAnsi="Cambria Math"/>
                          </w:rPr>
                        </m:ctrlPr>
                      </m:radPr>
                      <m:deg/>
                      <m:e>
                        <m:sSub>
                          <m:sSubPr>
                            <m:ctrlPr>
                              <w:rPr>
                                <w:rFonts w:ascii="Cambria Math" w:hAnsi="Cambria Math"/>
                              </w:rPr>
                            </m:ctrlPr>
                          </m:sSubPr>
                          <m:e>
                            <m:r>
                              <w:rPr>
                                <w:rFonts w:ascii="Cambria Math" w:hAnsi="Cambria Math"/>
                              </w:rPr>
                              <m:t>Δ</m:t>
                            </m:r>
                          </m:e>
                          <m:sub>
                            <m:r>
                              <w:rPr>
                                <w:rFonts w:ascii="Cambria Math" w:hAnsi="Cambria Math"/>
                              </w:rPr>
                              <m:t>i</m:t>
                            </m:r>
                          </m:sub>
                        </m:sSub>
                      </m:e>
                    </m:rad>
                  </m:num>
                  <m:den>
                    <m:r>
                      <w:rPr>
                        <w:rFonts w:ascii="Cambria Math" w:hAnsi="Cambria Math"/>
                      </w:rPr>
                      <m:t>2A</m:t>
                    </m:r>
                  </m:den>
                </m:f>
              </m:oMath>
            </m:oMathPara>
          </w:p>
        </w:tc>
        <w:tc>
          <w:tcPr>
            <w:tcW w:w="900" w:type="dxa"/>
            <w:tcMar>
              <w:top w:w="80" w:type="dxa"/>
              <w:left w:w="100" w:type="dxa"/>
              <w:bottom w:w="80" w:type="dxa"/>
              <w:right w:w="100" w:type="dxa"/>
            </w:tcMar>
            <w:vAlign w:val="center"/>
          </w:tcPr>
          <w:p w14:paraId="61CBBAE5" w14:textId="77777777" w:rsidR="000B554E" w:rsidRDefault="00000000">
            <w:pPr>
              <w:jc w:val="right"/>
            </w:pPr>
            <w:r>
              <w:t>(6)</w:t>
            </w:r>
          </w:p>
        </w:tc>
      </w:tr>
    </w:tbl>
    <w:p>
      <w:pPr>
        <w:ind w:firstLine="420"/>
        <w:jc w:val="both"/>
        <w:rPr>
          <w:lang w:eastAsia="zh-CN"/>
        </w:rPr>
      </w:pPr>
      <w:r>
        <w:t>式（6）中，</w:t>
      </w:r>
      <w:r>
        <w:rPr>
          <w:rFonts w:ascii="Cambria Math" w:hAnsi="Cambria Math"/>
          <w:i/>
        </w:rPr>
        <w:t>Δ</w:t>
      </w:r>
      <w:r>
        <w:rPr>
          <w:rFonts w:ascii="Cambria Math" w:hAnsi="Cambria Math"/>
          <w:i/>
          <w:vertAlign w:val="subscript"/>
        </w:rPr>
        <w:t>i</w:t>
      </w:r>
      <w:r>
        <w:t>=</w:t>
      </w:r>
      <w:r>
        <w:rPr>
          <w:rFonts w:ascii="Cambria Math" w:hAnsi="Cambria Math"/>
          <w:i/>
        </w:rPr>
        <w:t>B</w:t>
      </w:r>
      <w:r>
        <w:rPr>
          <w:rFonts w:ascii="Cambria Math" w:hAnsi="Cambria Math"/>
          <w:i/>
          <w:vertAlign w:val="subscript"/>
        </w:rPr>
        <w:t>i</w:t>
      </w:r>
      <w:r>
        <w:t>²−4</w:t>
      </w:r>
      <w:r>
        <w:rPr>
          <w:rFonts w:ascii="Cambria Math" w:hAnsi="Cambria Math"/>
          <w:i/>
        </w:rPr>
        <w:t>AC</w:t>
      </w:r>
      <w:r>
        <w:rPr>
          <w:rFonts w:ascii="Cambria Math" w:hAnsi="Cambria Math"/>
          <w:i/>
          <w:vertAlign w:val="subscript"/>
        </w:rPr>
        <w:t>i</w:t>
      </w:r>
      <w:r>
        <w:t>为第</w:t>
      </w:r>
      <w:r>
        <w:rPr>
          <w:rFonts w:ascii="Cambria Math" w:hAnsi="Cambria Math"/>
          <w:i/>
        </w:rPr>
        <w:t>i</w:t>
      </w:r>
      <w:r>
        <w:t>根圆柱对应二次方程的判别式；</w:t>
      </w:r>
      <w:r>
        <w:rPr>
          <w:rFonts w:ascii="Cambria Math" w:hAnsi="Cambria Math"/>
          <w:i/>
        </w:rPr>
        <w:t>λ</w:t>
      </w:r>
      <w:r>
        <w:rPr>
          <w:rFonts w:ascii="Cambria Math" w:hAnsi="Cambria Math"/>
          <w:i/>
          <w:vertAlign w:val="subscript"/>
        </w:rPr>
        <w:t>r,i,−</w:t>
      </w:r>
      <w:r>
        <w:t>和</w:t>
      </w:r>
      <w:r>
        <w:rPr>
          <w:rFonts w:ascii="Cambria Math" w:hAnsi="Cambria Math"/>
          <w:i/>
        </w:rPr>
        <w:t>λ</w:t>
      </w:r>
      <w:r>
        <w:rPr>
          <w:rFonts w:ascii="Cambria Math" w:hAnsi="Cambria Math"/>
          <w:i/>
          <w:vertAlign w:val="subscript"/>
        </w:rPr>
        <w:t>r,i,+</w:t>
      </w:r>
      <w:r>
        <w:t>分别为射线与该圆柱径向边界的两个交点参数，下标</w:t>
      </w:r>
      <w:r>
        <w:rPr>
          <w:rFonts w:ascii="Cambria Math" w:hAnsi="Cambria Math"/>
          <w:i/>
        </w:rPr>
        <w:t>r</w:t>
      </w:r>
      <w:r>
        <w:t>表示径向边界，符号−和+分别对应较小根和较大根。</w:t>
      </w:r>
    </w:p>
    <w:p w14:paraId="75497183" w14:textId="77777777" w:rsidR="000B554E" w:rsidRDefault="00000000">
      <w:pPr>
        <w:ind w:firstLine="420"/>
        <w:jc w:val="both"/>
        <w:rPr>
          <w:lang w:eastAsia="zh-CN"/>
        </w:rPr>
      </w:pPr>
      <w:r>
        <w:rPr>
          <w:rFonts w:cs="Times New Roman"/>
          <w:lang w:eastAsia="zh-CN"/>
        </w:rPr>
        <w:t>由于研究区域不包含圆柱端点，模型不设置轴向截断区间。综合有限物理射线区间与径向交点区间，第</w:t>
      </w:r>
      <w:proofErr w:type="spellStart"/>
      <w:r>
        <w:rPr>
          <w:rFonts w:cs="Times New Roman"/>
          <w:lang w:eastAsia="zh-CN"/>
        </w:rPr>
        <w:t>i</w:t>
      </w:r>
      <w:proofErr w:type="spellEnd"/>
      <w:r>
        <w:rPr>
          <w:rFonts w:cs="Times New Roman"/>
          <w:lang w:eastAsia="zh-CN"/>
        </w:rPr>
        <w:t>根圆柱内的有效进入参数与离开参数为：</w:t>
      </w:r>
    </w:p>
    <w:tbl>
      <w:tblPr>
        <w:tblW w:w="8900" w:type="dxa"/>
        <w:tblBorders>
          <w:top w:val="nil"/>
          <w:left w:val="nil"/>
          <w:bottom w:val="nil"/>
          <w:right w:val="nil"/>
          <w:insideH w:val="nil"/>
          <w:insideV w:val="nil"/>
        </w:tblBorders>
        <w:tblLayout w:type="fixed"/>
        <w:tblLook w:val="04A0" w:firstRow="1" w:lastRow="0" w:firstColumn="1" w:lastColumn="0" w:noHBand="0" w:noVBand="1"/>
      </w:tblPr>
      <w:tblGrid>
        <w:gridCol w:w="8000"/>
        <w:gridCol w:w="900"/>
      </w:tblGrid>
      <w:tr w:rsidR="000B554E" w14:paraId="21B6290B" w14:textId="77777777">
        <w:trPr>
          <w:cantSplit/>
        </w:trPr>
        <w:tc>
          <w:tcPr>
            <w:tcW w:w="8000" w:type="dxa"/>
            <w:tcMar>
              <w:top w:w="80" w:type="dxa"/>
              <w:left w:w="100" w:type="dxa"/>
              <w:bottom w:w="80" w:type="dxa"/>
              <w:right w:w="100" w:type="dxa"/>
            </w:tcMar>
            <w:vAlign w:val="center"/>
          </w:tcPr>
          <w:p w14:paraId="1D94A26E" w14:textId="77777777" w:rsidR="000B554E" w:rsidRDefault="00000000">
            <w:pPr>
              <w:spacing w:before="40" w:after="40"/>
              <w:jc w:val="center"/>
            </w:pPr>
            <m:oMathPara>
              <m:oMath>
                <m:sSub>
                  <m:sSubPr>
                    <m:ctrlPr>
                      <w:rPr>
                        <w:rFonts w:ascii="Cambria Math" w:hAnsi="Cambria Math"/>
                      </w:rPr>
                    </m:ctrlPr>
                  </m:sSubPr>
                  <m:e>
                    <m:r>
                      <w:rPr>
                        <w:rFonts w:ascii="Cambria Math" w:hAnsi="Cambria Math"/>
                      </w:rPr>
                      <m:t>λ</m:t>
                    </m:r>
                  </m:e>
                  <m:sub>
                    <m:r>
                      <m:rPr>
                        <m:sty m:val="p"/>
                      </m:rPr>
                      <w:rPr>
                        <w:rFonts w:ascii="Cambria Math" w:hAnsi="Cambria Math"/>
                      </w:rPr>
                      <m:t>in</m:t>
                    </m:r>
                    <m:r>
                      <w:rPr>
                        <w:rFonts w:ascii="Cambria Math" w:hAnsi="Cambria Math"/>
                      </w:rPr>
                      <m:t>,i</m:t>
                    </m:r>
                  </m:sub>
                </m:sSub>
                <m:r>
                  <w:rPr>
                    <w:rFonts w:ascii="Cambria Math" w:hAnsi="Cambria Math"/>
                  </w:rPr>
                  <m:t>=</m:t>
                </m:r>
                <m:r>
                  <m:rPr>
                    <m:sty m:val="p"/>
                  </m:rPr>
                  <w:rPr>
                    <w:rFonts w:ascii="Cambria Math" w:hAnsi="Cambria Math"/>
                  </w:rPr>
                  <m:t>max</m:t>
                </m:r>
                <m:r>
                  <w:rPr>
                    <w:rFonts w:ascii="Cambria Math" w:hAnsi="Cambria Math"/>
                  </w:rPr>
                  <m:t>(0,</m:t>
                </m:r>
                <m:sSub>
                  <m:sSubPr>
                    <m:ctrlPr>
                      <w:rPr>
                        <w:rFonts w:ascii="Cambria Math" w:hAnsi="Cambria Math"/>
                      </w:rPr>
                    </m:ctrlPr>
                  </m:sSubPr>
                  <m:e>
                    <m:r>
                      <w:rPr>
                        <w:rFonts w:ascii="Cambria Math" w:hAnsi="Cambria Math"/>
                      </w:rPr>
                      <m:t>λ</m:t>
                    </m:r>
                  </m:e>
                  <m:sub>
                    <m:r>
                      <w:rPr>
                        <w:rFonts w:ascii="Cambria Math" w:hAnsi="Cambria Math"/>
                      </w:rPr>
                      <m:t>r,i,-</m:t>
                    </m:r>
                  </m:sub>
                </m:sSub>
                <m:r>
                  <w:rPr>
                    <w:rFonts w:ascii="Cambria Math" w:hAnsi="Cambria Math"/>
                  </w:rPr>
                  <m:t>);</m:t>
                </m:r>
                <m:sSub>
                  <m:sSubPr>
                    <m:ctrlPr>
                      <w:rPr>
                        <w:rFonts w:ascii="Cambria Math" w:hAnsi="Cambria Math"/>
                      </w:rPr>
                    </m:ctrlPr>
                  </m:sSubPr>
                  <m:e>
                    <m:r>
                      <w:rPr>
                        <w:rFonts w:ascii="Cambria Math" w:hAnsi="Cambria Math"/>
                      </w:rPr>
                      <m:t>λ</m:t>
                    </m:r>
                  </m:e>
                  <m:sub>
                    <m:r>
                      <m:rPr>
                        <m:sty m:val="p"/>
                      </m:rPr>
                      <w:rPr>
                        <w:rFonts w:ascii="Cambria Math" w:hAnsi="Cambria Math"/>
                      </w:rPr>
                      <m:t>out</m:t>
                    </m:r>
                    <m:r>
                      <w:rPr>
                        <w:rFonts w:ascii="Cambria Math" w:hAnsi="Cambria Math"/>
                      </w:rPr>
                      <m:t>,i</m:t>
                    </m:r>
                  </m:sub>
                </m:sSub>
                <m:r>
                  <w:rPr>
                    <w:rFonts w:ascii="Cambria Math" w:hAnsi="Cambria Math"/>
                  </w:rPr>
                  <m:t>=</m:t>
                </m:r>
                <m:r>
                  <m:rPr>
                    <m:sty m:val="p"/>
                  </m:rPr>
                  <w:rPr>
                    <w:rFonts w:ascii="Cambria Math" w:hAnsi="Cambria Math"/>
                  </w:rPr>
                  <m:t>min</m:t>
                </m:r>
                <m:r>
                  <w:rPr>
                    <w:rFonts w:ascii="Cambria Math" w:hAnsi="Cambria Math"/>
                  </w:rPr>
                  <m:t>(1,</m:t>
                </m:r>
                <m:sSub>
                  <m:sSubPr>
                    <m:ctrlPr>
                      <w:rPr>
                        <w:rFonts w:ascii="Cambria Math" w:hAnsi="Cambria Math"/>
                      </w:rPr>
                    </m:ctrlPr>
                  </m:sSubPr>
                  <m:e>
                    <m:r>
                      <w:rPr>
                        <w:rFonts w:ascii="Cambria Math" w:hAnsi="Cambria Math"/>
                      </w:rPr>
                      <m:t>λ</m:t>
                    </m:r>
                  </m:e>
                  <m:sub>
                    <m:r>
                      <w:rPr>
                        <w:rFonts w:ascii="Cambria Math" w:hAnsi="Cambria Math"/>
                      </w:rPr>
                      <m:t>r,i,+</m:t>
                    </m:r>
                  </m:sub>
                </m:sSub>
                <m:r>
                  <w:rPr>
                    <w:rFonts w:ascii="Cambria Math" w:hAnsi="Cambria Math"/>
                  </w:rPr>
                  <m:t>)</m:t>
                </m:r>
              </m:oMath>
            </m:oMathPara>
          </w:p>
        </w:tc>
        <w:tc>
          <w:tcPr>
            <w:tcW w:w="900" w:type="dxa"/>
            <w:tcMar>
              <w:top w:w="80" w:type="dxa"/>
              <w:left w:w="100" w:type="dxa"/>
              <w:bottom w:w="80" w:type="dxa"/>
              <w:right w:w="100" w:type="dxa"/>
            </w:tcMar>
            <w:vAlign w:val="center"/>
          </w:tcPr>
          <w:p w14:paraId="6A2828E8" w14:textId="77777777" w:rsidR="000B554E" w:rsidRDefault="00000000">
            <w:pPr>
              <w:jc w:val="right"/>
            </w:pPr>
            <w:r>
              <w:t>(7)</w:t>
            </w:r>
          </w:p>
        </w:tc>
      </w:tr>
    </w:tbl>
    <w:p>
      <w:pPr>
        <w:ind w:firstLine="420"/>
        <w:jc w:val="both"/>
        <w:rPr>
          <w:lang w:eastAsia="zh-CN"/>
        </w:rPr>
      </w:pPr>
      <w:r>
        <w:t>式（7）中，</w:t>
      </w:r>
      <w:r>
        <w:rPr>
          <w:rFonts w:ascii="Cambria Math" w:hAnsi="Cambria Math"/>
          <w:i/>
        </w:rPr>
        <w:t>λ</w:t>
      </w:r>
      <w:r>
        <w:rPr>
          <w:rFonts w:ascii="Cambria Math" w:hAnsi="Cambria Math"/>
          <w:i/>
          <w:vertAlign w:val="subscript"/>
        </w:rPr>
        <w:t>in,i</w:t>
      </w:r>
      <w:r>
        <w:t>和</w:t>
      </w:r>
      <w:r>
        <w:rPr>
          <w:rFonts w:ascii="Cambria Math" w:hAnsi="Cambria Math"/>
          <w:i/>
        </w:rPr>
        <w:t>λ</w:t>
      </w:r>
      <w:r>
        <w:rPr>
          <w:rFonts w:ascii="Cambria Math" w:hAnsi="Cambria Math"/>
          <w:i/>
          <w:vertAlign w:val="subscript"/>
        </w:rPr>
        <w:t>out,i</w:t>
      </w:r>
      <w:r>
        <w:t>分别为射线在第</w:t>
      </w:r>
      <w:r>
        <w:rPr>
          <w:rFonts w:ascii="Cambria Math" w:hAnsi="Cambria Math"/>
          <w:i/>
        </w:rPr>
        <w:t>i</w:t>
      </w:r>
      <w:r>
        <w:t>根圆柱材料内的有效进入参数和离开参数；max与min分别表示取最大值和最小值，0和1分别对应有限物理射线段的焦点端和探测器端。</w:t>
      </w:r>
    </w:p>
    <w:p w14:paraId="64515FE3" w14:textId="77777777" w:rsidR="000B554E" w:rsidRDefault="00000000">
      <w:pPr>
        <w:ind w:firstLine="420"/>
        <w:jc w:val="both"/>
        <w:rPr>
          <w:lang w:eastAsia="zh-CN"/>
        </w:rPr>
      </w:pPr>
      <w:r>
        <w:rPr>
          <w:rFonts w:cs="Times New Roman"/>
          <w:lang w:eastAsia="zh-CN"/>
        </w:rPr>
        <w:t>因此，射线在第</w:t>
      </w:r>
      <w:proofErr w:type="spellStart"/>
      <w:r>
        <w:rPr>
          <w:rFonts w:cs="Times New Roman"/>
          <w:lang w:eastAsia="zh-CN"/>
        </w:rPr>
        <w:t>i</w:t>
      </w:r>
      <w:proofErr w:type="spellEnd"/>
      <w:r>
        <w:rPr>
          <w:rFonts w:cs="Times New Roman"/>
          <w:lang w:eastAsia="zh-CN"/>
        </w:rPr>
        <w:t>根圆柱材料中的实际路径长度为：</w:t>
      </w:r>
    </w:p>
    <w:tbl>
      <w:tblPr>
        <w:tblW w:w="8900" w:type="dxa"/>
        <w:tblBorders>
          <w:top w:val="nil"/>
          <w:left w:val="nil"/>
          <w:bottom w:val="nil"/>
          <w:right w:val="nil"/>
          <w:insideH w:val="nil"/>
          <w:insideV w:val="nil"/>
        </w:tblBorders>
        <w:tblLayout w:type="fixed"/>
        <w:tblLook w:val="04A0" w:firstRow="1" w:lastRow="0" w:firstColumn="1" w:lastColumn="0" w:noHBand="0" w:noVBand="1"/>
      </w:tblPr>
      <w:tblGrid>
        <w:gridCol w:w="8000"/>
        <w:gridCol w:w="900"/>
      </w:tblGrid>
      <w:tr w:rsidR="000B554E" w14:paraId="2D40B666" w14:textId="77777777">
        <w:trPr>
          <w:cantSplit/>
        </w:trPr>
        <w:tc>
          <w:tcPr>
            <w:tcW w:w="8000" w:type="dxa"/>
            <w:tcMar>
              <w:top w:w="80" w:type="dxa"/>
              <w:left w:w="100" w:type="dxa"/>
              <w:bottom w:w="80" w:type="dxa"/>
              <w:right w:w="100" w:type="dxa"/>
            </w:tcMar>
            <w:vAlign w:val="center"/>
          </w:tcPr>
          <w:p w14:paraId="20D87FF4" w14:textId="77777777" w:rsidR="000B554E" w:rsidRDefault="00000000">
            <w:pPr>
              <w:spacing w:before="40" w:after="40"/>
              <w:jc w:val="center"/>
            </w:pPr>
            <m:oMathPara>
              <m:oMath>
                <m:sSub>
                  <m:sSubPr>
                    <m:ctrlPr>
                      <w:rPr>
                        <w:rFonts w:ascii="Cambria Math" w:hAnsi="Cambria Math"/>
                      </w:rPr>
                    </m:ctrlPr>
                  </m:sSubPr>
                  <m:e>
                    <m:r>
                      <w:rPr>
                        <w:rFonts w:ascii="Cambria Math" w:hAnsi="Cambria Math"/>
                      </w:rPr>
                      <m:t>l</m:t>
                    </m:r>
                  </m:e>
                  <m:sub>
                    <m:r>
                      <w:rPr>
                        <w:rFonts w:ascii="Cambria Math" w:hAnsi="Cambria Math"/>
                      </w:rPr>
                      <m:t>i</m:t>
                    </m:r>
                  </m:sub>
                </m:sSub>
                <m:d>
                  <m:dPr>
                    <m:ctrlPr>
                      <w:rPr>
                        <w:rFonts w:ascii="Cambria Math" w:hAnsi="Cambria Math"/>
                      </w:rPr>
                    </m:ctrlPr>
                  </m:dPr>
                  <m:e>
                    <m:r>
                      <w:rPr>
                        <w:rFonts w:ascii="Cambria Math" w:hAnsi="Cambria Math"/>
                      </w:rPr>
                      <m:t>u,v,X,Y</m:t>
                    </m:r>
                  </m:e>
                </m:d>
                <m:r>
                  <w:rPr>
                    <w:rFonts w:ascii="Cambria Math" w:hAnsi="Cambria Math"/>
                  </w:rPr>
                  <m:t>=|q|</m:t>
                </m:r>
                <m:sSub>
                  <m:sSubPr>
                    <m:ctrlPr>
                      <w:rPr>
                        <w:rFonts w:ascii="Cambria Math" w:hAnsi="Cambria Math"/>
                      </w:rPr>
                    </m:ctrlPr>
                  </m:sSubPr>
                  <m:e>
                    <m:d>
                      <m:dPr>
                        <m:begChr m:val="["/>
                        <m:endChr m:val="]"/>
                        <m:ctrlPr>
                          <w:rPr>
                            <w:rFonts w:ascii="Cambria Math" w:hAnsi="Cambria Math"/>
                          </w:rPr>
                        </m:ctrlPr>
                      </m:dPr>
                      <m:e>
                        <m:sSub>
                          <m:sSubPr>
                            <m:ctrlPr>
                              <w:rPr>
                                <w:rFonts w:ascii="Cambria Math" w:hAnsi="Cambria Math"/>
                              </w:rPr>
                            </m:ctrlPr>
                          </m:sSubPr>
                          <m:e>
                            <m:r>
                              <w:rPr>
                                <w:rFonts w:ascii="Cambria Math" w:hAnsi="Cambria Math"/>
                              </w:rPr>
                              <m:t>λ</m:t>
                            </m:r>
                          </m:e>
                          <m:sub>
                            <m:r>
                              <m:rPr>
                                <m:sty m:val="p"/>
                              </m:rPr>
                              <w:rPr>
                                <w:rFonts w:ascii="Cambria Math" w:hAnsi="Cambria Math"/>
                              </w:rPr>
                              <m:t>out</m:t>
                            </m:r>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λ</m:t>
                            </m:r>
                          </m:e>
                          <m:sub>
                            <m:r>
                              <m:rPr>
                                <m:sty m:val="p"/>
                              </m:rPr>
                              <w:rPr>
                                <w:rFonts w:ascii="Cambria Math" w:hAnsi="Cambria Math"/>
                              </w:rPr>
                              <m:t>in</m:t>
                            </m:r>
                            <m:r>
                              <w:rPr>
                                <w:rFonts w:ascii="Cambria Math" w:hAnsi="Cambria Math"/>
                              </w:rPr>
                              <m:t>,i</m:t>
                            </m:r>
                          </m:sub>
                        </m:sSub>
                      </m:e>
                    </m:d>
                  </m:e>
                  <m:sub>
                    <m:r>
                      <w:rPr>
                        <w:rFonts w:ascii="Cambria Math" w:hAnsi="Cambria Math"/>
                      </w:rPr>
                      <m:t>+</m:t>
                    </m:r>
                  </m:sub>
                </m:sSub>
                <m:r>
                  <w:rPr>
                    <w:rFonts w:ascii="Cambria Math" w:hAnsi="Cambria Math"/>
                  </w:rPr>
                  <m:t>,</m:t>
                </m:r>
                <m:sSub>
                  <m:sSubPr>
                    <m:ctrlPr>
                      <w:rPr>
                        <w:rFonts w:ascii="Cambria Math" w:hAnsi="Cambria Math"/>
                      </w:rPr>
                    </m:ctrlPr>
                  </m:sSubPr>
                  <m:e>
                    <m:d>
                      <m:dPr>
                        <m:begChr m:val="["/>
                        <m:endChr m:val="]"/>
                        <m:ctrlPr>
                          <w:rPr>
                            <w:rFonts w:ascii="Cambria Math" w:hAnsi="Cambria Math"/>
                          </w:rPr>
                        </m:ctrlPr>
                      </m:dPr>
                      <m:e>
                        <m:r>
                          <w:rPr>
                            <w:rFonts w:ascii="Cambria Math" w:hAnsi="Cambria Math"/>
                          </w:rPr>
                          <m:t>z</m:t>
                        </m:r>
                      </m:e>
                    </m:d>
                  </m:e>
                  <m:sub>
                    <m:r>
                      <w:rPr>
                        <w:rFonts w:ascii="Cambria Math" w:hAnsi="Cambria Math"/>
                      </w:rPr>
                      <m:t>+</m:t>
                    </m:r>
                  </m:sub>
                </m:sSub>
                <m:r>
                  <w:rPr>
                    <w:rFonts w:ascii="Cambria Math" w:hAnsi="Cambria Math"/>
                  </w:rPr>
                  <m:t>=</m:t>
                </m:r>
                <m:r>
                  <m:rPr>
                    <m:sty m:val="p"/>
                  </m:rPr>
                  <w:rPr>
                    <w:rFonts w:ascii="Cambria Math" w:hAnsi="Cambria Math"/>
                  </w:rPr>
                  <m:t>max</m:t>
                </m:r>
                <m:d>
                  <m:dPr>
                    <m:ctrlPr>
                      <w:rPr>
                        <w:rFonts w:ascii="Cambria Math" w:hAnsi="Cambria Math"/>
                      </w:rPr>
                    </m:ctrlPr>
                  </m:dPr>
                  <m:e>
                    <m:r>
                      <w:rPr>
                        <w:rFonts w:ascii="Cambria Math" w:hAnsi="Cambria Math"/>
                      </w:rPr>
                      <m:t>z,0</m:t>
                    </m:r>
                  </m:e>
                </m:d>
              </m:oMath>
            </m:oMathPara>
          </w:p>
        </w:tc>
        <w:tc>
          <w:tcPr>
            <w:tcW w:w="900" w:type="dxa"/>
            <w:tcMar>
              <w:top w:w="80" w:type="dxa"/>
              <w:left w:w="100" w:type="dxa"/>
              <w:bottom w:w="80" w:type="dxa"/>
              <w:right w:w="100" w:type="dxa"/>
            </w:tcMar>
            <w:vAlign w:val="center"/>
          </w:tcPr>
          <w:p w14:paraId="2CB16A1D" w14:textId="77777777" w:rsidR="000B554E" w:rsidRDefault="00000000">
            <w:pPr>
              <w:jc w:val="right"/>
            </w:pPr>
            <w:r>
              <w:t>(8)</w:t>
            </w:r>
          </w:p>
        </w:tc>
      </w:tr>
      <w:tr w:rsidR="000B554E" w14:paraId="498836F3" w14:textId="77777777">
        <w:trPr>
          <w:cantSplit/>
        </w:trPr>
        <w:tc>
          <w:tcPr>
            <w:tcW w:w="8000" w:type="dxa"/>
            <w:tcMar>
              <w:top w:w="80" w:type="dxa"/>
              <w:left w:w="100" w:type="dxa"/>
              <w:bottom w:w="80" w:type="dxa"/>
              <w:right w:w="100" w:type="dxa"/>
            </w:tcMar>
            <w:vAlign w:val="center"/>
          </w:tcPr>
          <w:p w14:paraId="26A2350F" w14:textId="77777777" w:rsidR="000B554E" w:rsidRDefault="00000000">
            <w:pPr>
              <w:spacing w:before="40" w:after="40"/>
              <w:jc w:val="center"/>
            </w:pPr>
            <m:oMathPara>
              <m:oMath>
                <m:r>
                  <w:rPr>
                    <w:rFonts w:ascii="Cambria Math" w:hAnsi="Cambria Math"/>
                  </w:rPr>
                  <m:t>|q|=</m:t>
                </m:r>
                <m:rad>
                  <m:radPr>
                    <m:degHide m:val="1"/>
                    <m:ctrlPr>
                      <w:rPr>
                        <w:rFonts w:ascii="Cambria Math" w:hAnsi="Cambria Math"/>
                      </w:rPr>
                    </m:ctrlPr>
                  </m:radPr>
                  <m:deg/>
                  <m:e>
                    <m:sSup>
                      <m:sSupPr>
                        <m:ctrlPr>
                          <w:rPr>
                            <w:rFonts w:ascii="Cambria Math" w:hAnsi="Cambria Math"/>
                          </w:rPr>
                        </m:ctrlPr>
                      </m:sSupPr>
                      <m:e>
                        <m:d>
                          <m:dPr>
                            <m:ctrlPr>
                              <w:rPr>
                                <w:rFonts w:ascii="Cambria Math" w:hAnsi="Cambria Math"/>
                              </w:rPr>
                            </m:ctrlPr>
                          </m:dPr>
                          <m:e>
                            <m:r>
                              <w:rPr>
                                <w:rFonts w:ascii="Cambria Math" w:hAnsi="Cambria Math"/>
                              </w:rPr>
                              <m:t>X-u</m:t>
                            </m:r>
                          </m:e>
                        </m:d>
                      </m:e>
                      <m:sup>
                        <m:r>
                          <w:rPr>
                            <w:rFonts w:ascii="Cambria Math" w:hAnsi="Cambria Math"/>
                          </w:rPr>
                          <m:t>2</m:t>
                        </m:r>
                      </m:sup>
                    </m:sSup>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Y-v</m:t>
                            </m:r>
                          </m:e>
                        </m:d>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D</m:t>
                        </m:r>
                      </m:e>
                      <m:sup>
                        <m:r>
                          <w:rPr>
                            <w:rFonts w:ascii="Cambria Math" w:hAnsi="Cambria Math"/>
                          </w:rPr>
                          <m:t>2</m:t>
                        </m:r>
                      </m:sup>
                    </m:sSup>
                  </m:e>
                </m:rad>
                <m:r>
                  <w:rPr>
                    <w:rFonts w:ascii="Cambria Math" w:hAnsi="Cambria Math"/>
                  </w:rPr>
                  <m:t>,l</m:t>
                </m:r>
                <m:d>
                  <m:dPr>
                    <m:ctrlPr>
                      <w:rPr>
                        <w:rFonts w:ascii="Cambria Math" w:hAnsi="Cambria Math"/>
                      </w:rPr>
                    </m:ctrlPr>
                  </m:dPr>
                  <m:e>
                    <m:r>
                      <w:rPr>
                        <w:rFonts w:ascii="Cambria Math" w:hAnsi="Cambria Math"/>
                      </w:rPr>
                      <m:t>u,v,X,Y</m:t>
                    </m:r>
                  </m:e>
                </m:d>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2</m:t>
                    </m:r>
                  </m:sub>
                </m:sSub>
              </m:oMath>
            </m:oMathPara>
          </w:p>
        </w:tc>
        <w:tc>
          <w:tcPr>
            <w:tcW w:w="900" w:type="dxa"/>
            <w:tcMar>
              <w:top w:w="80" w:type="dxa"/>
              <w:left w:w="100" w:type="dxa"/>
              <w:bottom w:w="80" w:type="dxa"/>
              <w:right w:w="100" w:type="dxa"/>
            </w:tcMar>
            <w:vAlign w:val="center"/>
          </w:tcPr>
          <w:p w14:paraId="37DA374C" w14:textId="77777777" w:rsidR="000B554E" w:rsidRDefault="00000000">
            <w:pPr>
              <w:jc w:val="right"/>
            </w:pPr>
            <w:r>
              <w:t>(9)</w:t>
            </w:r>
          </w:p>
        </w:tc>
      </w:tr>
    </w:tbl>
    <w:p>
      <w:pPr>
        <w:ind w:firstLine="420"/>
        <w:jc w:val="both"/>
        <w:rPr>
          <w:lang w:eastAsia="zh-CN"/>
        </w:rPr>
      </w:pPr>
      <w:r>
        <w:t>式（8）和式（9）中，</w:t>
      </w:r>
      <w:r>
        <w:rPr>
          <w:rFonts w:ascii="Cambria Math" w:hAnsi="Cambria Math"/>
          <w:i/>
        </w:rPr>
        <w:t>l</w:t>
      </w:r>
      <w:r>
        <w:rPr>
          <w:rFonts w:ascii="Cambria Math" w:hAnsi="Cambria Math"/>
          <w:i/>
          <w:vertAlign w:val="subscript"/>
        </w:rPr>
        <w:t>i</w:t>
      </w:r>
      <w:r>
        <w:t>(</w:t>
      </w:r>
      <w:r>
        <w:rPr>
          <w:rFonts w:ascii="Cambria Math" w:hAnsi="Cambria Math"/>
          <w:i/>
        </w:rPr>
        <w:t>u</w:t>
      </w:r>
      <w:r>
        <w:t>,</w:t>
      </w:r>
      <w:r>
        <w:rPr>
          <w:rFonts w:ascii="Cambria Math" w:hAnsi="Cambria Math"/>
          <w:i/>
        </w:rPr>
        <w:t>v</w:t>
      </w:r>
      <w:r>
        <w:t>,</w:t>
      </w:r>
      <w:r>
        <w:rPr>
          <w:rFonts w:ascii="Cambria Math" w:hAnsi="Cambria Math"/>
          <w:i/>
        </w:rPr>
        <w:t>X</w:t>
      </w:r>
      <w:r>
        <w:t>,</w:t>
      </w:r>
      <w:r>
        <w:rPr>
          <w:rFonts w:ascii="Cambria Math" w:hAnsi="Cambria Math"/>
          <w:i/>
        </w:rPr>
        <w:t>Y</w:t>
      </w:r>
      <w:r>
        <w:t>)为给定发射点和接收点时射线在第</w:t>
      </w:r>
      <w:r>
        <w:rPr>
          <w:rFonts w:ascii="Cambria Math" w:hAnsi="Cambria Math"/>
          <w:i/>
        </w:rPr>
        <w:t>i</w:t>
      </w:r>
      <w:r>
        <w:t>根圆柱内的路径长度；|</w:t>
      </w:r>
      <w:r>
        <w:rPr>
          <w:rFonts w:ascii="Cambria Math" w:hAnsi="Cambria Math"/>
          <w:i/>
        </w:rPr>
        <w:t>q</w:t>
      </w:r>
      <w:r>
        <w:t>|为方向向量</w:t>
      </w:r>
      <w:r>
        <w:rPr>
          <w:rFonts w:ascii="Cambria Math" w:hAnsi="Cambria Math"/>
          <w:i/>
        </w:rPr>
        <w:t>q</w:t>
      </w:r>
      <w:r>
        <w:t>的欧氏范数，即发射点至接收点的距离；</w:t>
      </w:r>
      <w:r>
        <w:rPr>
          <w:rFonts w:ascii="Cambria Math" w:hAnsi="Cambria Math"/>
          <w:i/>
        </w:rPr>
        <w:t>[z]</w:t>
      </w:r>
      <w:r>
        <w:rPr>
          <w:rFonts w:ascii="Cambria Math" w:hAnsi="Cambria Math"/>
          <w:i/>
          <w:vertAlign w:val="subscript"/>
        </w:rPr>
        <w:t>+</w:t>
      </w:r>
      <w:r>
        <w:t>=max(</w:t>
      </w:r>
      <w:r>
        <w:rPr>
          <w:rFonts w:ascii="Cambria Math" w:hAnsi="Cambria Math"/>
          <w:i/>
        </w:rPr>
        <w:t>z</w:t>
      </w:r>
      <w:r>
        <w:t>,0)为正部算子；</w:t>
      </w:r>
      <w:r>
        <w:rPr>
          <w:rFonts w:ascii="Cambria Math" w:hAnsi="Cambria Math"/>
          <w:i/>
        </w:rPr>
        <w:t>l</w:t>
      </w:r>
      <w:r>
        <w:t>(</w:t>
      </w:r>
      <w:r>
        <w:rPr>
          <w:rFonts w:ascii="Cambria Math" w:hAnsi="Cambria Math"/>
          <w:i/>
        </w:rPr>
        <w:t>u</w:t>
      </w:r>
      <w:r>
        <w:t>,</w:t>
      </w:r>
      <w:r>
        <w:rPr>
          <w:rFonts w:ascii="Cambria Math" w:hAnsi="Cambria Math"/>
          <w:i/>
        </w:rPr>
        <w:t>v</w:t>
      </w:r>
      <w:r>
        <w:t>,</w:t>
      </w:r>
      <w:r>
        <w:rPr>
          <w:rFonts w:ascii="Cambria Math" w:hAnsi="Cambria Math"/>
          <w:i/>
        </w:rPr>
        <w:t>X</w:t>
      </w:r>
      <w:r>
        <w:t>,</w:t>
      </w:r>
      <w:r>
        <w:rPr>
          <w:rFonts w:ascii="Cambria Math" w:hAnsi="Cambria Math"/>
          <w:i/>
        </w:rPr>
        <w:t>Y</w:t>
      </w:r>
      <w:r>
        <w:t>)=</w:t>
      </w:r>
      <w:r>
        <w:rPr>
          <w:rFonts w:ascii="Cambria Math" w:hAnsi="Cambria Math"/>
          <w:i/>
        </w:rPr>
        <w:t>l</w:t>
      </w:r>
      <w:r>
        <w:rPr>
          <w:rFonts w:ascii="Cambria Math" w:hAnsi="Cambria Math"/>
          <w:i/>
          <w:vertAlign w:val="subscript"/>
        </w:rPr>
        <w:t>1+l</w:t>
      </w:r>
      <w:r>
        <w:t>_2为射线在两根圆柱材料内的总路径长度。</w:t>
      </w:r>
    </w:p>
    <w:p w14:paraId="09B0E80A" w14:textId="77777777" w:rsidR="000B554E" w:rsidRDefault="00000000">
      <w:pPr>
        <w:ind w:firstLine="420"/>
        <w:jc w:val="both"/>
        <w:rPr>
          <w:lang w:eastAsia="zh-CN"/>
        </w:rPr>
      </w:pPr>
      <w:r>
        <w:rPr>
          <w:rFonts w:cs="Times New Roman"/>
          <w:lang w:eastAsia="zh-CN"/>
        </w:rPr>
        <w:t>上述路径长度由有限物理射线段与圆柱</w:t>
      </w:r>
      <w:proofErr w:type="gramStart"/>
      <w:r>
        <w:rPr>
          <w:rFonts w:cs="Times New Roman"/>
          <w:lang w:eastAsia="zh-CN"/>
        </w:rPr>
        <w:t>径向交段共同</w:t>
      </w:r>
      <w:proofErr w:type="gramEnd"/>
      <w:r>
        <w:rPr>
          <w:rFonts w:cs="Times New Roman"/>
          <w:lang w:eastAsia="zh-CN"/>
        </w:rPr>
        <w:t>确定。</w:t>
      </w:r>
    </w:p>
    <w:p w14:paraId="62C2805A" w14:textId="77777777" w:rsidR="000B554E" w:rsidRDefault="00000000">
      <w:pPr>
        <w:pStyle w:val="21"/>
        <w:rPr>
          <w:lang w:eastAsia="zh-CN"/>
        </w:rPr>
      </w:pPr>
      <w:r>
        <w:rPr>
          <w:rFonts w:ascii="Arial" w:eastAsia="黑体" w:hAnsi="Arial" w:cs="Arial"/>
          <w:lang w:eastAsia="zh-CN"/>
        </w:rPr>
        <w:t xml:space="preserve">2.3 </w:t>
      </w:r>
      <w:r>
        <w:rPr>
          <w:rFonts w:ascii="Arial" w:eastAsia="黑体" w:hAnsi="Arial" w:cs="Arial"/>
          <w:lang w:eastAsia="zh-CN"/>
        </w:rPr>
        <w:t>探测器强度正向模型与</w:t>
      </w:r>
      <w:r>
        <w:rPr>
          <w:rFonts w:ascii="Arial" w:eastAsia="黑体" w:hAnsi="Arial" w:cs="Arial"/>
          <w:lang w:eastAsia="zh-CN"/>
        </w:rPr>
        <w:t>LSF</w:t>
      </w:r>
      <w:r>
        <w:rPr>
          <w:rFonts w:ascii="Arial" w:eastAsia="黑体" w:hAnsi="Arial" w:cs="Arial"/>
          <w:lang w:eastAsia="zh-CN"/>
        </w:rPr>
        <w:t>定义</w:t>
      </w:r>
    </w:p>
    <w:p w14:paraId="5AC2E9CA" w14:textId="77777777" w:rsidR="000B554E" w:rsidRDefault="00000000">
      <w:pPr>
        <w:ind w:firstLine="420"/>
        <w:jc w:val="both"/>
        <w:rPr>
          <w:lang w:eastAsia="zh-CN"/>
        </w:rPr>
      </w:pPr>
      <w:r>
        <w:rPr>
          <w:rFonts w:cs="Times New Roman"/>
          <w:lang w:eastAsia="zh-CN"/>
        </w:rPr>
        <w:t>在等效单能模型下，焦点二维强度分布、材料有效线性衰减系数和几何传播因子共同决定探测器期望强度。对于平面探测器，距离平方反比与斜入射余弦因子的乘积可写为射线长度的函数，因此：</w:t>
      </w:r>
    </w:p>
    <w:tbl>
      <w:tblPr>
        <w:tblW w:w="8900" w:type="dxa"/>
        <w:tblBorders>
          <w:top w:val="nil"/>
          <w:left w:val="nil"/>
          <w:bottom w:val="nil"/>
          <w:right w:val="nil"/>
          <w:insideH w:val="nil"/>
          <w:insideV w:val="nil"/>
        </w:tblBorders>
        <w:tblLayout w:type="fixed"/>
        <w:tblLook w:val="04A0" w:firstRow="1" w:lastRow="0" w:firstColumn="1" w:lastColumn="0" w:noHBand="0" w:noVBand="1"/>
      </w:tblPr>
      <w:tblGrid>
        <w:gridCol w:w="8000"/>
        <w:gridCol w:w="900"/>
      </w:tblGrid>
      <w:tr w:rsidR="000B554E" w14:paraId="621DF863" w14:textId="77777777">
        <w:trPr>
          <w:cantSplit/>
        </w:trPr>
        <w:tc>
          <w:tcPr>
            <w:tcW w:w="8000" w:type="dxa"/>
            <w:tcMar>
              <w:top w:w="80" w:type="dxa"/>
              <w:left w:w="100" w:type="dxa"/>
              <w:bottom w:w="80" w:type="dxa"/>
              <w:right w:w="100" w:type="dxa"/>
            </w:tcMar>
            <w:vAlign w:val="center"/>
          </w:tcPr>
          <w:p w14:paraId="028FD635" w14:textId="77777777" w:rsidR="000B554E" w:rsidRDefault="00000000">
            <w:pPr>
              <w:spacing w:before="40" w:after="40"/>
              <w:jc w:val="center"/>
              <w:rPr>
                <w:lang w:eastAsia="zh-CN"/>
              </w:rPr>
            </w:pPr>
            <m:oMathPara>
              <m:oMath>
                <m:r>
                  <w:rPr>
                    <w:rFonts w:ascii="Cambria Math" w:hAnsi="Cambria Math"/>
                  </w:rPr>
                  <m:t>I</m:t>
                </m:r>
                <m:d>
                  <m:dPr>
                    <m:ctrlPr>
                      <w:rPr>
                        <w:rFonts w:ascii="Cambria Math" w:hAnsi="Cambria Math"/>
                      </w:rPr>
                    </m:ctrlPr>
                  </m:dPr>
                  <m:e>
                    <m:r>
                      <w:rPr>
                        <w:rFonts w:ascii="Cambria Math" w:hAnsi="Cambria Math"/>
                      </w:rPr>
                      <m:t>X,Y</m:t>
                    </m:r>
                  </m:e>
                </m:d>
                <m:r>
                  <w:rPr>
                    <w:rFonts w:ascii="Cambria Math" w:hAnsi="Cambria Math"/>
                  </w:rPr>
                  <m:t>=C∬S</m:t>
                </m:r>
                <m:d>
                  <m:dPr>
                    <m:ctrlPr>
                      <w:rPr>
                        <w:rFonts w:ascii="Cambria Math" w:hAnsi="Cambria Math"/>
                      </w:rPr>
                    </m:ctrlPr>
                  </m:dPr>
                  <m:e>
                    <m:r>
                      <w:rPr>
                        <w:rFonts w:ascii="Cambria Math" w:hAnsi="Cambria Math"/>
                      </w:rPr>
                      <m:t>u,v</m:t>
                    </m:r>
                  </m:e>
                </m:d>
                <m:r>
                  <w:rPr>
                    <w:rFonts w:ascii="Cambria Math" w:hAnsi="Cambria Math"/>
                  </w:rPr>
                  <m:t>·</m:t>
                </m:r>
                <m:f>
                  <m:fPr>
                    <m:ctrlPr>
                      <w:rPr>
                        <w:rFonts w:ascii="Cambria Math" w:hAnsi="Cambria Math"/>
                      </w:rPr>
                    </m:ctrlPr>
                  </m:fPr>
                  <m:num>
                    <m:r>
                      <w:rPr>
                        <w:rFonts w:ascii="Cambria Math" w:hAnsi="Cambria Math"/>
                      </w:rPr>
                      <m:t>D</m:t>
                    </m:r>
                  </m:num>
                  <m:den>
                    <m:sSup>
                      <m:sSupPr>
                        <m:ctrlPr>
                          <w:rPr>
                            <w:rFonts w:ascii="Cambria Math" w:hAnsi="Cambria Math"/>
                          </w:rPr>
                        </m:ctrlPr>
                      </m:sSupPr>
                      <m:e>
                        <m:r>
                          <w:rPr>
                            <w:rFonts w:ascii="Cambria Math" w:hAnsi="Cambria Math"/>
                          </w:rPr>
                          <m:t>ρ</m:t>
                        </m:r>
                      </m:e>
                      <m:sup>
                        <m:r>
                          <w:rPr>
                            <w:rFonts w:ascii="Cambria Math" w:hAnsi="Cambria Math"/>
                          </w:rPr>
                          <m:t>3</m:t>
                        </m:r>
                      </m:sup>
                    </m:sSup>
                  </m:den>
                </m:f>
                <m:r>
                  <w:rPr>
                    <w:rFonts w:ascii="Cambria Math" w:hAnsi="Cambria Math"/>
                  </w:rPr>
                  <m:t>·</m:t>
                </m:r>
                <m:r>
                  <m:rPr>
                    <m:sty m:val="p"/>
                  </m:rPr>
                  <w:rPr>
                    <w:rFonts w:ascii="Cambria Math" w:hAnsi="Cambria Math"/>
                  </w:rPr>
                  <m:t>exp</m:t>
                </m:r>
                <m:d>
                  <m:dPr>
                    <m:begChr m:val="["/>
                    <m:endChr m:val="]"/>
                    <m:ctrlPr>
                      <w:rPr>
                        <w:rFonts w:ascii="Cambria Math" w:hAnsi="Cambria Math"/>
                      </w:rPr>
                    </m:ctrlPr>
                  </m:dPr>
                  <m:e>
                    <m:r>
                      <w:rPr>
                        <w:rFonts w:ascii="Cambria Math" w:hAnsi="Cambria Math"/>
                      </w:rPr>
                      <m:t>-</m:t>
                    </m:r>
                    <m:sSub>
                      <m:sSubPr>
                        <m:ctrlPr>
                          <w:rPr>
                            <w:rFonts w:ascii="Cambria Math" w:hAnsi="Cambria Math"/>
                          </w:rPr>
                        </m:ctrlPr>
                      </m:sSubPr>
                      <m:e>
                        <m:r>
                          <w:rPr>
                            <w:rFonts w:ascii="Cambria Math" w:hAnsi="Cambria Math"/>
                          </w:rPr>
                          <m:t>μ</m:t>
                        </m:r>
                      </m:e>
                      <m:sub>
                        <m:r>
                          <m:rPr>
                            <m:sty m:val="p"/>
                          </m:rPr>
                          <w:rPr>
                            <w:rFonts w:ascii="Cambria Math" w:hAnsi="Cambria Math"/>
                          </w:rPr>
                          <m:t>eff</m:t>
                        </m:r>
                      </m:sub>
                    </m:sSub>
                    <m:r>
                      <w:rPr>
                        <w:rFonts w:ascii="Cambria Math" w:hAnsi="Cambria Math"/>
                      </w:rPr>
                      <m:t>l</m:t>
                    </m:r>
                    <m:d>
                      <m:dPr>
                        <m:ctrlPr>
                          <w:rPr>
                            <w:rFonts w:ascii="Cambria Math" w:hAnsi="Cambria Math"/>
                          </w:rPr>
                        </m:ctrlPr>
                      </m:dPr>
                      <m:e>
                        <m:r>
                          <w:rPr>
                            <w:rFonts w:ascii="Cambria Math" w:hAnsi="Cambria Math"/>
                          </w:rPr>
                          <m:t>u,v,X,Y</m:t>
                        </m:r>
                      </m:e>
                    </m:d>
                  </m:e>
                </m:d>
                <m:r>
                  <m:rPr>
                    <m:sty m:val="p"/>
                  </m:rPr>
                  <w:rPr>
                    <w:rFonts w:ascii="Cambria Math" w:hAnsi="Cambria Math"/>
                  </w:rPr>
                  <m:t>d</m:t>
                </m:r>
                <m:r>
                  <w:rPr>
                    <w:rFonts w:ascii="Cambria Math" w:hAnsi="Cambria Math"/>
                  </w:rPr>
                  <m:t>u</m:t>
                </m:r>
                <m:r>
                  <m:rPr>
                    <m:sty m:val="p"/>
                  </m:rPr>
                  <w:rPr>
                    <w:rFonts w:ascii="Cambria Math" w:hAnsi="Cambria Math"/>
                  </w:rPr>
                  <m:t>d</m:t>
                </m:r>
                <m:r>
                  <w:rPr>
                    <w:rFonts w:ascii="Cambria Math" w:hAnsi="Cambria Math"/>
                  </w:rPr>
                  <m:t>v</m:t>
                </m:r>
              </m:oMath>
            </m:oMathPara>
          </w:p>
        </w:tc>
        <w:tc>
          <w:tcPr>
            <w:tcW w:w="900" w:type="dxa"/>
            <w:tcMar>
              <w:top w:w="80" w:type="dxa"/>
              <w:left w:w="100" w:type="dxa"/>
              <w:bottom w:w="80" w:type="dxa"/>
              <w:right w:w="100" w:type="dxa"/>
            </w:tcMar>
            <w:vAlign w:val="center"/>
          </w:tcPr>
          <w:p w14:paraId="63197157" w14:textId="77777777" w:rsidR="000B554E" w:rsidRDefault="00000000">
            <w:pPr>
              <w:jc w:val="right"/>
            </w:pPr>
            <w:r>
              <w:t>(10)</w:t>
            </w:r>
          </w:p>
        </w:tc>
      </w:tr>
    </w:tbl>
    <w:p>
      <w:pPr>
        <w:ind w:firstLine="420"/>
        <w:jc w:val="both"/>
        <w:rPr>
          <w:lang w:eastAsia="zh-CN"/>
        </w:rPr>
      </w:pPr>
      <w:r>
        <w:t>式（10）中，</w:t>
      </w:r>
      <w:r>
        <w:rPr>
          <w:rFonts w:ascii="Cambria Math" w:hAnsi="Cambria Math"/>
          <w:i/>
        </w:rPr>
        <w:t>I</w:t>
      </w:r>
      <w:r>
        <w:t>(</w:t>
      </w:r>
      <w:r>
        <w:rPr>
          <w:rFonts w:ascii="Cambria Math" w:hAnsi="Cambria Math"/>
          <w:i/>
        </w:rPr>
        <w:t>X</w:t>
      </w:r>
      <w:r>
        <w:t>,</w:t>
      </w:r>
      <w:r>
        <w:rPr>
          <w:rFonts w:ascii="Cambria Math" w:hAnsi="Cambria Math"/>
          <w:i/>
        </w:rPr>
        <w:t>Y</w:t>
      </w:r>
      <w:r>
        <w:t>)为探测器位置(</w:t>
      </w:r>
      <w:r>
        <w:rPr>
          <w:rFonts w:ascii="Cambria Math" w:hAnsi="Cambria Math"/>
          <w:i/>
        </w:rPr>
        <w:t>X</w:t>
      </w:r>
      <w:r>
        <w:t>,</w:t>
      </w:r>
      <w:r>
        <w:rPr>
          <w:rFonts w:ascii="Cambria Math" w:hAnsi="Cambria Math"/>
          <w:i/>
        </w:rPr>
        <w:t>Y</w:t>
      </w:r>
      <w:r>
        <w:t>)处的期望强度；</w:t>
      </w:r>
      <w:r>
        <w:rPr>
          <w:rFonts w:ascii="Cambria Math" w:hAnsi="Cambria Math"/>
          <w:i/>
        </w:rPr>
        <w:t>C</w:t>
      </w:r>
      <w:r>
        <w:t>为与辐射输出和探测器增益有关的系统总比例因子；</w:t>
      </w:r>
      <w:r>
        <w:rPr>
          <w:rFonts w:ascii="Cambria Math" w:hAnsi="Cambria Math"/>
          <w:i/>
        </w:rPr>
        <w:t>S</w:t>
      </w:r>
      <w:r>
        <w:t>(</w:t>
      </w:r>
      <w:r>
        <w:rPr>
          <w:rFonts w:ascii="Cambria Math" w:hAnsi="Cambria Math"/>
          <w:i/>
        </w:rPr>
        <w:t>u</w:t>
      </w:r>
      <w:r>
        <w:t>,</w:t>
      </w:r>
      <w:r>
        <w:rPr>
          <w:rFonts w:ascii="Cambria Math" w:hAnsi="Cambria Math"/>
          <w:i/>
        </w:rPr>
        <w:t>v</w:t>
      </w:r>
      <w:r>
        <w:t>)为焦点参考面上的二维强度分布，</w:t>
      </w:r>
      <w:r>
        <w:rPr>
          <w:rFonts w:ascii="Cambria Math" w:hAnsi="Cambria Math"/>
          <w:i/>
        </w:rPr>
        <w:t>μ</w:t>
      </w:r>
      <w:r>
        <w:rPr>
          <w:rFonts w:ascii="Cambria Math" w:hAnsi="Cambria Math"/>
          <w:i w:val="0"/>
          <w:vertAlign w:val="subscript"/>
        </w:rPr>
        <w:t>eff</w:t>
      </w:r>
      <w:r>
        <w:t>为圆柱材料的等效线性衰减系数；</w:t>
      </w:r>
      <w:r>
        <w:rPr>
          <w:rFonts w:ascii="Cambria Math" w:hAnsi="Cambria Math"/>
          <w:i/>
        </w:rPr>
        <w:t>ρ</w:t>
      </w:r>
      <w:r>
        <w:t>=|</w:t>
      </w:r>
      <w:r>
        <w:rPr>
          <w:rFonts w:ascii="Cambria Math" w:hAnsi="Cambria Math"/>
          <w:i/>
        </w:rPr>
        <w:t>q</w:t>
      </w:r>
      <w:r>
        <w:t>|为源点到探测点的传播距离，</w:t>
      </w:r>
      <w:r>
        <w:rPr>
          <w:rFonts w:ascii="Cambria Math" w:hAnsi="Cambria Math"/>
          <w:i/>
        </w:rPr>
        <w:t>D</w:t>
      </w:r>
      <w:r>
        <w:t>/</w:t>
      </w:r>
      <w:r>
        <w:rPr>
          <w:rFonts w:ascii="Cambria Math" w:hAnsi="Cambria Math"/>
          <w:i/>
        </w:rPr>
        <w:t>ρ</w:t>
      </w:r>
      <w:r>
        <w:t>³为平面探测器条件下的几何传播因子；</w:t>
      </w:r>
      <w:r>
        <w:rPr>
          <w:rFonts w:ascii="Cambria Math" w:hAnsi="Cambria Math"/>
          <w:i/>
        </w:rPr>
        <w:t>l</w:t>
      </w:r>
      <w:r>
        <w:t>(</w:t>
      </w:r>
      <w:r>
        <w:rPr>
          <w:rFonts w:ascii="Cambria Math" w:hAnsi="Cambria Math"/>
          <w:i/>
        </w:rPr>
        <w:t>u</w:t>
      </w:r>
      <w:r>
        <w:t>,</w:t>
      </w:r>
      <w:r>
        <w:rPr>
          <w:rFonts w:ascii="Cambria Math" w:hAnsi="Cambria Math"/>
          <w:i/>
        </w:rPr>
        <w:t>v</w:t>
      </w:r>
      <w:r>
        <w:t>,</w:t>
      </w:r>
      <w:r>
        <w:rPr>
          <w:rFonts w:ascii="Cambria Math" w:hAnsi="Cambria Math"/>
          <w:i/>
        </w:rPr>
        <w:t>X</w:t>
      </w:r>
      <w:r>
        <w:t>,</w:t>
      </w:r>
      <w:r>
        <w:rPr>
          <w:rFonts w:ascii="Cambria Math" w:hAnsi="Cambria Math"/>
          <w:i/>
        </w:rPr>
        <w:t>Y</w:t>
      </w:r>
      <w:r>
        <w:t>)为式（9）定义的总材料路径长度，积分区域为有效焦点参考面。</w:t>
      </w:r>
    </w:p>
    <w:p w14:paraId="4582D117" w14:textId="77777777" w:rsidR="000B554E" w:rsidRDefault="00000000">
      <w:pPr>
        <w:ind w:firstLine="420"/>
        <w:jc w:val="both"/>
        <w:rPr>
          <w:lang w:eastAsia="zh-CN"/>
        </w:rPr>
      </w:pPr>
      <w:r>
        <w:rPr>
          <w:rFonts w:cs="Times New Roman"/>
          <w:lang w:eastAsia="zh-CN"/>
        </w:rPr>
        <w:t>当圆柱轴沿</w:t>
      </w:r>
      <w:r>
        <w:rPr>
          <w:rFonts w:cs="Times New Roman"/>
          <w:lang w:eastAsia="zh-CN"/>
        </w:rPr>
        <w:t>y</w:t>
      </w:r>
      <w:r>
        <w:rPr>
          <w:rFonts w:cs="Times New Roman"/>
          <w:lang w:eastAsia="zh-CN"/>
        </w:rPr>
        <w:t>方向时，沿</w:t>
      </w:r>
      <w:r>
        <w:rPr>
          <w:rFonts w:cs="Times New Roman"/>
          <w:lang w:eastAsia="zh-CN"/>
        </w:rPr>
        <w:t>x</w:t>
      </w:r>
      <w:r>
        <w:rPr>
          <w:rFonts w:cs="Times New Roman"/>
          <w:lang w:eastAsia="zh-CN"/>
        </w:rPr>
        <w:t>方向的一维焦点投影定义为：</w:t>
      </w:r>
    </w:p>
    <w:tbl>
      <w:tblPr>
        <w:tblW w:w="8900" w:type="dxa"/>
        <w:tblBorders>
          <w:top w:val="nil"/>
          <w:left w:val="nil"/>
          <w:bottom w:val="nil"/>
          <w:right w:val="nil"/>
          <w:insideH w:val="nil"/>
          <w:insideV w:val="nil"/>
        </w:tblBorders>
        <w:tblLayout w:type="fixed"/>
        <w:tblLook w:val="04A0" w:firstRow="1" w:lastRow="0" w:firstColumn="1" w:lastColumn="0" w:noHBand="0" w:noVBand="1"/>
      </w:tblPr>
      <w:tblGrid>
        <w:gridCol w:w="8000"/>
        <w:gridCol w:w="900"/>
      </w:tblGrid>
      <w:tr w:rsidR="000B554E" w14:paraId="7C5D40E8" w14:textId="77777777">
        <w:trPr>
          <w:cantSplit/>
        </w:trPr>
        <w:tc>
          <w:tcPr>
            <w:tcW w:w="8000" w:type="dxa"/>
            <w:tcMar>
              <w:top w:w="80" w:type="dxa"/>
              <w:left w:w="100" w:type="dxa"/>
              <w:bottom w:w="80" w:type="dxa"/>
              <w:right w:w="100" w:type="dxa"/>
            </w:tcMar>
            <w:vAlign w:val="center"/>
          </w:tcPr>
          <w:p w14:paraId="469C2FC1" w14:textId="77777777" w:rsidR="000B554E" w:rsidRDefault="00000000">
            <w:pPr>
              <w:spacing w:before="40" w:after="40"/>
              <w:jc w:val="center"/>
            </w:pPr>
            <m:oMathPara>
              <m:oMath>
                <m:sSub>
                  <m:sSubPr>
                    <m:ctrlPr>
                      <w:rPr>
                        <w:rFonts w:ascii="Cambria Math" w:hAnsi="Cambria Math"/>
                      </w:rPr>
                    </m:ctrlPr>
                  </m:sSubPr>
                  <m:e>
                    <m:r>
                      <w:rPr>
                        <w:rFonts w:ascii="Cambria Math" w:hAnsi="Cambria Math"/>
                      </w:rPr>
                      <m:t>L</m:t>
                    </m:r>
                  </m:e>
                  <m:sub>
                    <m:r>
                      <w:rPr>
                        <w:rFonts w:ascii="Cambria Math" w:hAnsi="Cambria Math"/>
                      </w:rPr>
                      <m:t>x</m:t>
                    </m:r>
                  </m:sub>
                </m:sSub>
                <m:d>
                  <m:dPr>
                    <m:ctrlPr>
                      <w:rPr>
                        <w:rFonts w:ascii="Cambria Math" w:hAnsi="Cambria Math"/>
                      </w:rPr>
                    </m:ctrlPr>
                  </m:dPr>
                  <m:e>
                    <m:r>
                      <w:rPr>
                        <w:rFonts w:ascii="Cambria Math" w:hAnsi="Cambria Math"/>
                      </w:rPr>
                      <m:t>u</m:t>
                    </m:r>
                  </m:e>
                </m:d>
                <m:r>
                  <w:rPr>
                    <w:rFonts w:ascii="Cambria Math" w:hAnsi="Cambria Math"/>
                  </w:rPr>
                  <m:t>=∫S</m:t>
                </m:r>
                <m:d>
                  <m:dPr>
                    <m:ctrlPr>
                      <w:rPr>
                        <w:rFonts w:ascii="Cambria Math" w:hAnsi="Cambria Math"/>
                      </w:rPr>
                    </m:ctrlPr>
                  </m:dPr>
                  <m:e>
                    <m:r>
                      <w:rPr>
                        <w:rFonts w:ascii="Cambria Math" w:hAnsi="Cambria Math"/>
                      </w:rPr>
                      <m:t>u,v</m:t>
                    </m:r>
                  </m:e>
                </m:d>
                <m:r>
                  <m:rPr>
                    <m:sty m:val="p"/>
                  </m:rPr>
                  <w:rPr>
                    <w:rFonts w:ascii="Cambria Math" w:hAnsi="Cambria Math"/>
                  </w:rPr>
                  <m:t>d</m:t>
                </m:r>
                <m:r>
                  <w:rPr>
                    <w:rFonts w:ascii="Cambria Math" w:hAnsi="Cambria Math"/>
                  </w:rPr>
                  <m:t>v</m:t>
                </m:r>
              </m:oMath>
            </m:oMathPara>
          </w:p>
        </w:tc>
        <w:tc>
          <w:tcPr>
            <w:tcW w:w="900" w:type="dxa"/>
            <w:tcMar>
              <w:top w:w="80" w:type="dxa"/>
              <w:left w:w="100" w:type="dxa"/>
              <w:bottom w:w="80" w:type="dxa"/>
              <w:right w:w="100" w:type="dxa"/>
            </w:tcMar>
            <w:vAlign w:val="center"/>
          </w:tcPr>
          <w:p w14:paraId="70E0D521" w14:textId="77777777" w:rsidR="000B554E" w:rsidRDefault="00000000">
            <w:pPr>
              <w:jc w:val="right"/>
            </w:pPr>
            <w:r>
              <w:t>(11)</w:t>
            </w:r>
          </w:p>
        </w:tc>
      </w:tr>
    </w:tbl>
    <w:p>
      <w:pPr>
        <w:ind w:firstLine="420"/>
        <w:jc w:val="both"/>
        <w:rPr>
          <w:lang w:eastAsia="zh-CN"/>
        </w:rPr>
      </w:pPr>
      <w:r>
        <w:t>式（11）中，</w:t>
      </w:r>
      <w:r>
        <w:rPr>
          <w:rFonts w:ascii="Cambria Math" w:hAnsi="Cambria Math"/>
          <w:i/>
        </w:rPr>
        <w:t>L</w:t>
      </w:r>
      <w:r>
        <w:rPr>
          <w:rFonts w:ascii="Cambria Math" w:hAnsi="Cambria Math"/>
          <w:i/>
          <w:vertAlign w:val="subscript"/>
        </w:rPr>
        <w:t>x</w:t>
      </w:r>
      <w:r>
        <w:t>(</w:t>
      </w:r>
      <w:r>
        <w:rPr>
          <w:rFonts w:ascii="Cambria Math" w:hAnsi="Cambria Math"/>
          <w:i/>
        </w:rPr>
        <w:t>u</w:t>
      </w:r>
      <w:r>
        <w:t>)为焦点二维强度分布沿</w:t>
      </w:r>
      <w:r>
        <w:rPr>
          <w:rFonts w:ascii="Cambria Math" w:hAnsi="Cambria Math"/>
          <w:i/>
        </w:rPr>
        <w:t>v</w:t>
      </w:r>
      <w:r>
        <w:t>方向积分得到的</w:t>
      </w:r>
      <w:r>
        <w:rPr>
          <w:rFonts w:ascii="Cambria Math" w:hAnsi="Cambria Math"/>
          <w:i/>
        </w:rPr>
        <w:t>x</w:t>
      </w:r>
      <w:r>
        <w:t>方向线强度分布，亦即</w:t>
      </w:r>
      <w:r>
        <w:rPr>
          <w:rFonts w:ascii="Cambria Math" w:hAnsi="Cambria Math"/>
          <w:i/>
        </w:rPr>
        <w:t>x</w:t>
      </w:r>
      <w:r>
        <w:t>方向线扩展函数；</w:t>
      </w:r>
      <w:r>
        <w:rPr>
          <w:rFonts w:ascii="Cambria Math" w:hAnsi="Cambria Math"/>
          <w:i/>
        </w:rPr>
        <w:t>v</w:t>
      </w:r>
      <w:r>
        <w:t>为积分变量，积分范围覆盖有效焦点在该方向上的定义域。</w:t>
      </w:r>
    </w:p>
    <w:p w14:paraId="208FF01B" w14:textId="77777777" w:rsidR="000B554E" w:rsidRDefault="00000000">
      <w:pPr>
        <w:ind w:firstLine="420"/>
        <w:jc w:val="both"/>
        <w:rPr>
          <w:lang w:eastAsia="zh-CN"/>
        </w:rPr>
      </w:pPr>
      <w:r>
        <w:rPr>
          <w:rFonts w:cs="Times New Roman"/>
          <w:lang w:eastAsia="zh-CN"/>
        </w:rPr>
        <w:t>在不包含圆柱端点的研究区域内，圆柱模型沿轴向平移不变，可沿轴向对二维强度分布积分或</w:t>
      </w:r>
      <w:proofErr w:type="gramStart"/>
      <w:r>
        <w:rPr>
          <w:rFonts w:cs="Times New Roman"/>
          <w:lang w:eastAsia="zh-CN"/>
        </w:rPr>
        <w:t>取统计</w:t>
      </w:r>
      <w:proofErr w:type="gramEnd"/>
      <w:r>
        <w:rPr>
          <w:rFonts w:cs="Times New Roman"/>
          <w:lang w:eastAsia="zh-CN"/>
        </w:rPr>
        <w:t>平均，从而将二维正向模型约化为一维卷积型积分关系：</w:t>
      </w:r>
    </w:p>
    <w:tbl>
      <w:tblPr>
        <w:tblW w:w="8900" w:type="dxa"/>
        <w:tblBorders>
          <w:top w:val="nil"/>
          <w:left w:val="nil"/>
          <w:bottom w:val="nil"/>
          <w:right w:val="nil"/>
          <w:insideH w:val="nil"/>
          <w:insideV w:val="nil"/>
        </w:tblBorders>
        <w:tblLayout w:type="fixed"/>
        <w:tblLook w:val="04A0" w:firstRow="1" w:lastRow="0" w:firstColumn="1" w:lastColumn="0" w:noHBand="0" w:noVBand="1"/>
      </w:tblPr>
      <w:tblGrid>
        <w:gridCol w:w="8000"/>
        <w:gridCol w:w="900"/>
      </w:tblGrid>
      <w:tr w:rsidR="000B554E" w14:paraId="6BE364C2" w14:textId="77777777">
        <w:trPr>
          <w:cantSplit/>
        </w:trPr>
        <w:tc>
          <w:tcPr>
            <w:tcW w:w="8000" w:type="dxa"/>
            <w:tcMar>
              <w:top w:w="80" w:type="dxa"/>
              <w:left w:w="100" w:type="dxa"/>
              <w:bottom w:w="80" w:type="dxa"/>
              <w:right w:w="100" w:type="dxa"/>
            </w:tcMar>
            <w:vAlign w:val="center"/>
          </w:tcPr>
          <w:p w14:paraId="4CFAFDF8" w14:textId="77777777" w:rsidR="000B554E" w:rsidRDefault="00000000">
            <w:pPr>
              <w:spacing w:before="40" w:after="40"/>
              <w:jc w:val="center"/>
            </w:pPr>
            <m:oMathPara>
              <m:oMath>
                <m:r>
                  <w:rPr>
                    <w:rFonts w:ascii="Cambria Math" w:hAnsi="Cambria Math"/>
                  </w:rPr>
                  <m:t>J</m:t>
                </m:r>
                <m:d>
                  <m:dPr>
                    <m:ctrlPr>
                      <w:rPr>
                        <w:rFonts w:ascii="Cambria Math" w:hAnsi="Cambria Math"/>
                      </w:rPr>
                    </m:ctrlPr>
                  </m:dPr>
                  <m:e>
                    <m:r>
                      <w:rPr>
                        <w:rFonts w:ascii="Cambria Math" w:hAnsi="Cambria Math"/>
                      </w:rPr>
                      <m:t>X</m:t>
                    </m:r>
                  </m:e>
                </m:d>
                <m:r>
                  <w:rPr>
                    <w:rFonts w:ascii="Cambria Math" w:hAnsi="Cambria Math"/>
                  </w:rPr>
                  <m:t>=C∫</m:t>
                </m:r>
                <m:sSub>
                  <m:sSubPr>
                    <m:ctrlPr>
                      <w:rPr>
                        <w:rFonts w:ascii="Cambria Math" w:hAnsi="Cambria Math"/>
                      </w:rPr>
                    </m:ctrlPr>
                  </m:sSubPr>
                  <m:e>
                    <m:r>
                      <w:rPr>
                        <w:rFonts w:ascii="Cambria Math" w:hAnsi="Cambria Math"/>
                      </w:rPr>
                      <m:t>L</m:t>
                    </m:r>
                  </m:e>
                  <m:sub>
                    <m:r>
                      <w:rPr>
                        <w:rFonts w:ascii="Cambria Math" w:hAnsi="Cambria Math"/>
                      </w:rPr>
                      <m:t>x</m:t>
                    </m:r>
                  </m:sub>
                </m:sSub>
                <m:d>
                  <m:dPr>
                    <m:ctrlPr>
                      <w:rPr>
                        <w:rFonts w:ascii="Cambria Math" w:hAnsi="Cambria Math"/>
                      </w:rPr>
                    </m:ctrlPr>
                  </m:dPr>
                  <m:e>
                    <m:r>
                      <w:rPr>
                        <w:rFonts w:ascii="Cambria Math" w:hAnsi="Cambria Math"/>
                      </w:rPr>
                      <m:t>u</m:t>
                    </m:r>
                  </m:e>
                </m:d>
                <m:r>
                  <w:rPr>
                    <w:rFonts w:ascii="Cambria Math" w:hAnsi="Cambria Math"/>
                  </w:rPr>
                  <m:t>H</m:t>
                </m:r>
                <m:d>
                  <m:dPr>
                    <m:ctrlPr>
                      <w:rPr>
                        <w:rFonts w:ascii="Cambria Math" w:hAnsi="Cambria Math"/>
                      </w:rPr>
                    </m:ctrlPr>
                  </m:dPr>
                  <m:e>
                    <m:r>
                      <w:rPr>
                        <w:rFonts w:ascii="Cambria Math" w:hAnsi="Cambria Math"/>
                      </w:rPr>
                      <m:t>X,u</m:t>
                    </m:r>
                  </m:e>
                </m:d>
                <m:r>
                  <m:rPr>
                    <m:sty m:val="p"/>
                  </m:rPr>
                  <w:rPr>
                    <w:rFonts w:ascii="Cambria Math" w:hAnsi="Cambria Math"/>
                  </w:rPr>
                  <m:t>d</m:t>
                </m:r>
                <m:r>
                  <w:rPr>
                    <w:rFonts w:ascii="Cambria Math" w:hAnsi="Cambria Math"/>
                  </w:rPr>
                  <m:t>u+B</m:t>
                </m:r>
              </m:oMath>
            </m:oMathPara>
          </w:p>
        </w:tc>
        <w:tc>
          <w:tcPr>
            <w:tcW w:w="900" w:type="dxa"/>
            <w:tcMar>
              <w:top w:w="80" w:type="dxa"/>
              <w:left w:w="100" w:type="dxa"/>
              <w:bottom w:w="80" w:type="dxa"/>
              <w:right w:w="100" w:type="dxa"/>
            </w:tcMar>
            <w:vAlign w:val="center"/>
          </w:tcPr>
          <w:p w14:paraId="53EDFBD8" w14:textId="77777777" w:rsidR="000B554E" w:rsidRDefault="00000000">
            <w:pPr>
              <w:jc w:val="right"/>
            </w:pPr>
            <w:r>
              <w:t>(12)</w:t>
            </w:r>
          </w:p>
        </w:tc>
      </w:tr>
      <w:tr w:rsidR="000B554E" w14:paraId="044E5141" w14:textId="77777777">
        <w:trPr>
          <w:cantSplit/>
        </w:trPr>
        <w:tc>
          <w:tcPr>
            <w:tcW w:w="8000" w:type="dxa"/>
            <w:tcMar>
              <w:top w:w="80" w:type="dxa"/>
              <w:left w:w="100" w:type="dxa"/>
              <w:bottom w:w="80" w:type="dxa"/>
              <w:right w:w="100" w:type="dxa"/>
            </w:tcMar>
            <w:vAlign w:val="center"/>
          </w:tcPr>
          <w:p w14:paraId="0D9D57C6" w14:textId="77777777" w:rsidR="000B554E" w:rsidRDefault="00000000">
            <w:pPr>
              <w:spacing w:before="40" w:after="40"/>
              <w:jc w:val="center"/>
            </w:pPr>
            <m:oMathPara>
              <m:oMath>
                <m:r>
                  <w:rPr>
                    <w:rFonts w:ascii="Cambria Math" w:hAnsi="Cambria Math"/>
                  </w:rPr>
                  <m:t>H</m:t>
                </m:r>
                <m:d>
                  <m:dPr>
                    <m:ctrlPr>
                      <w:rPr>
                        <w:rFonts w:ascii="Cambria Math" w:hAnsi="Cambria Math"/>
                      </w:rPr>
                    </m:ctrlPr>
                  </m:dPr>
                  <m:e>
                    <m:r>
                      <w:rPr>
                        <w:rFonts w:ascii="Cambria Math" w:hAnsi="Cambria Math"/>
                      </w:rPr>
                      <m:t>X,u</m:t>
                    </m:r>
                  </m:e>
                </m:d>
                <m:r>
                  <w:rPr>
                    <w:rFonts w:ascii="Cambria Math" w:hAnsi="Cambria Math"/>
                  </w:rPr>
                  <m:t>=G</m:t>
                </m:r>
                <m:d>
                  <m:dPr>
                    <m:ctrlPr>
                      <w:rPr>
                        <w:rFonts w:ascii="Cambria Math" w:hAnsi="Cambria Math"/>
                      </w:rPr>
                    </m:ctrlPr>
                  </m:dPr>
                  <m:e>
                    <m:r>
                      <w:rPr>
                        <w:rFonts w:ascii="Cambria Math" w:hAnsi="Cambria Math"/>
                      </w:rPr>
                      <m:t>X,u</m:t>
                    </m:r>
                  </m:e>
                </m:d>
                <m:r>
                  <m:rPr>
                    <m:sty m:val="p"/>
                  </m:rPr>
                  <w:rPr>
                    <w:rFonts w:ascii="Cambria Math" w:hAnsi="Cambria Math"/>
                  </w:rPr>
                  <m:t>exp</m:t>
                </m:r>
                <m:d>
                  <m:dPr>
                    <m:begChr m:val="["/>
                    <m:endChr m:val="]"/>
                    <m:ctrlPr>
                      <w:rPr>
                        <w:rFonts w:ascii="Cambria Math" w:hAnsi="Cambria Math"/>
                      </w:rPr>
                    </m:ctrlPr>
                  </m:dPr>
                  <m:e>
                    <m:r>
                      <w:rPr>
                        <w:rFonts w:ascii="Cambria Math" w:hAnsi="Cambria Math"/>
                      </w:rPr>
                      <m:t>-</m:t>
                    </m:r>
                    <m:sSub>
                      <m:sSubPr>
                        <m:ctrlPr>
                          <w:rPr>
                            <w:rFonts w:ascii="Cambria Math" w:hAnsi="Cambria Math"/>
                          </w:rPr>
                        </m:ctrlPr>
                      </m:sSubPr>
                      <m:e>
                        <m:r>
                          <w:rPr>
                            <w:rFonts w:ascii="Cambria Math" w:hAnsi="Cambria Math"/>
                          </w:rPr>
                          <m:t>μ</m:t>
                        </m:r>
                      </m:e>
                      <m:sub>
                        <m:r>
                          <m:rPr>
                            <m:sty m:val="p"/>
                          </m:rPr>
                          <w:rPr>
                            <w:rFonts w:ascii="Cambria Math" w:hAnsi="Cambria Math"/>
                          </w:rPr>
                          <m:t>eff</m:t>
                        </m:r>
                      </m:sub>
                    </m:sSub>
                    <m:r>
                      <w:rPr>
                        <w:rFonts w:ascii="Cambria Math" w:hAnsi="Cambria Math"/>
                      </w:rPr>
                      <m:t>l</m:t>
                    </m:r>
                    <m:d>
                      <m:dPr>
                        <m:ctrlPr>
                          <w:rPr>
                            <w:rFonts w:ascii="Cambria Math" w:hAnsi="Cambria Math"/>
                          </w:rPr>
                        </m:ctrlPr>
                      </m:dPr>
                      <m:e>
                        <m:r>
                          <w:rPr>
                            <w:rFonts w:ascii="Cambria Math" w:hAnsi="Cambria Math"/>
                          </w:rPr>
                          <m:t>u,X</m:t>
                        </m:r>
                      </m:e>
                    </m:d>
                  </m:e>
                </m:d>
              </m:oMath>
            </m:oMathPara>
          </w:p>
        </w:tc>
        <w:tc>
          <w:tcPr>
            <w:tcW w:w="900" w:type="dxa"/>
            <w:tcMar>
              <w:top w:w="80" w:type="dxa"/>
              <w:left w:w="100" w:type="dxa"/>
              <w:bottom w:w="80" w:type="dxa"/>
              <w:right w:w="100" w:type="dxa"/>
            </w:tcMar>
            <w:vAlign w:val="center"/>
          </w:tcPr>
          <w:p w14:paraId="683CEC9E" w14:textId="77777777" w:rsidR="000B554E" w:rsidRDefault="00000000">
            <w:pPr>
              <w:jc w:val="right"/>
            </w:pPr>
            <w:r>
              <w:t>(13)</w:t>
            </w:r>
          </w:p>
        </w:tc>
      </w:tr>
    </w:tbl>
    <w:p>
      <w:pPr>
        <w:ind w:firstLine="420"/>
        <w:jc w:val="both"/>
        <w:rPr>
          <w:lang w:eastAsia="zh-CN"/>
        </w:rPr>
      </w:pPr>
      <w:r>
        <w:t>式（12）和式（13）中，</w:t>
      </w:r>
      <w:r>
        <w:rPr>
          <w:rFonts w:ascii="Cambria Math" w:hAnsi="Cambria Math"/>
          <w:i/>
        </w:rPr>
        <w:t>J</w:t>
      </w:r>
      <w:r>
        <w:t>(</w:t>
      </w:r>
      <w:r>
        <w:rPr>
          <w:rFonts w:ascii="Cambria Math" w:hAnsi="Cambria Math"/>
          <w:i/>
        </w:rPr>
        <w:t>X</w:t>
      </w:r>
      <w:r>
        <w:t>)为沿圆柱轴向积分或统计平均后得到的一维探测器强度轮廓；</w:t>
      </w:r>
      <w:r>
        <w:rPr>
          <w:rFonts w:ascii="Cambria Math" w:hAnsi="Cambria Math"/>
          <w:i/>
        </w:rPr>
        <w:t>H</w:t>
      </w:r>
      <w:r>
        <w:t>(</w:t>
      </w:r>
      <w:r>
        <w:rPr>
          <w:rFonts w:ascii="Cambria Math" w:hAnsi="Cambria Math"/>
          <w:i/>
        </w:rPr>
        <w:t>X</w:t>
      </w:r>
      <w:r>
        <w:t>,</w:t>
      </w:r>
      <w:r>
        <w:rPr>
          <w:rFonts w:ascii="Cambria Math" w:hAnsi="Cambria Math"/>
          <w:i/>
        </w:rPr>
        <w:t>u</w:t>
      </w:r>
      <w:r>
        <w:t>)为双圆柱系统对位于</w:t>
      </w:r>
      <w:r>
        <w:rPr>
          <w:rFonts w:ascii="Cambria Math" w:hAnsi="Cambria Math"/>
          <w:i/>
        </w:rPr>
        <w:t>u</w:t>
      </w:r>
      <w:r>
        <w:t>处单位强度焦点微元的响应核，</w:t>
      </w:r>
      <w:r>
        <w:rPr>
          <w:rFonts w:ascii="Cambria Math" w:hAnsi="Cambria Math"/>
          <w:i/>
        </w:rPr>
        <w:t>B</w:t>
      </w:r>
      <w:r>
        <w:t>为加性背景；</w:t>
      </w:r>
      <w:r>
        <w:rPr>
          <w:rFonts w:ascii="Cambria Math" w:hAnsi="Cambria Math"/>
          <w:i/>
        </w:rPr>
        <w:t>G</w:t>
      </w:r>
      <w:r>
        <w:t>(</w:t>
      </w:r>
      <w:r>
        <w:rPr>
          <w:rFonts w:ascii="Cambria Math" w:hAnsi="Cambria Math"/>
          <w:i/>
        </w:rPr>
        <w:t>X</w:t>
      </w:r>
      <w:r>
        <w:t>,</w:t>
      </w:r>
      <w:r>
        <w:rPr>
          <w:rFonts w:ascii="Cambria Math" w:hAnsi="Cambria Math"/>
          <w:i/>
        </w:rPr>
        <w:t>u</w:t>
      </w:r>
      <w:r>
        <w:t>)为归一化几何传播因子，</w:t>
      </w:r>
      <w:r>
        <w:rPr>
          <w:rFonts w:ascii="Cambria Math" w:hAnsi="Cambria Math"/>
          <w:i/>
        </w:rPr>
        <w:t>l</w:t>
      </w:r>
      <w:r>
        <w:t>(</w:t>
      </w:r>
      <w:r>
        <w:rPr>
          <w:rFonts w:ascii="Cambria Math" w:hAnsi="Cambria Math"/>
          <w:i/>
        </w:rPr>
        <w:t>u</w:t>
      </w:r>
      <w:r>
        <w:t>,</w:t>
      </w:r>
      <w:r>
        <w:rPr>
          <w:rFonts w:ascii="Cambria Math" w:hAnsi="Cambria Math"/>
          <w:i/>
        </w:rPr>
        <w:t>X</w:t>
      </w:r>
      <w:r>
        <w:t>)为轴向约化后的双圆柱总路径长度。</w:t>
      </w:r>
    </w:p>
    <w:p w14:paraId="4B8FD4A6" w14:textId="77777777" w:rsidR="000B554E" w:rsidRDefault="00000000">
      <w:pPr>
        <w:ind w:firstLine="420"/>
        <w:jc w:val="both"/>
        <w:rPr>
          <w:lang w:eastAsia="zh-CN"/>
        </w:rPr>
      </w:pPr>
      <w:r>
        <w:t>近轴小视野条件下，几何因子可近似为常数。与理想狭缝不同，响应核的形状由真实圆柱弦长和指数衰减共同决定。若探测器孔径响应不可忽略，则应将核函数与探测器点扩展函数卷积，使反演对象仍保持为焦点LSF。</w:t>
      </w:r>
    </w:p>
    <w:p w14:paraId="67DDBA52" w14:textId="77777777" w:rsidR="000B554E" w:rsidRDefault="00000000">
      <w:pPr>
        <w:pStyle w:val="21"/>
        <w:rPr>
          <w:lang w:eastAsia="zh-CN"/>
        </w:rPr>
      </w:pPr>
      <w:r>
        <w:rPr>
          <w:lang w:eastAsia="zh-CN"/>
        </w:rPr>
        <w:lastRenderedPageBreak/>
        <w:t xml:space="preserve">2.4 </w:t>
      </w:r>
      <w:r>
        <w:rPr>
          <w:lang w:eastAsia="zh-CN"/>
        </w:rPr>
        <w:t>反演模型与正则化规律</w:t>
      </w:r>
    </w:p>
    <w:p w14:paraId="4041C9B6" w14:textId="77777777" w:rsidR="000B554E" w:rsidRDefault="00000000">
      <w:pPr>
        <w:ind w:firstLine="420"/>
        <w:jc w:val="both"/>
        <w:rPr>
          <w:lang w:eastAsia="zh-CN"/>
        </w:rPr>
      </w:pPr>
      <w:r>
        <w:rPr>
          <w:lang w:eastAsia="zh-CN"/>
        </w:rPr>
        <w:t>将焦点坐标与观测轮廓坐标分别离散。</w:t>
      </w:r>
      <w:proofErr w:type="gramStart"/>
      <w:r>
        <w:rPr>
          <w:lang w:eastAsia="zh-CN"/>
        </w:rPr>
        <w:t>待估向量</w:t>
      </w:r>
      <w:proofErr w:type="gramEnd"/>
      <w:r>
        <w:rPr>
          <w:lang w:eastAsia="zh-CN"/>
        </w:rPr>
        <w:t>a</w:t>
      </w:r>
      <w:r>
        <w:rPr>
          <w:lang w:eastAsia="zh-CN"/>
        </w:rPr>
        <w:t>的元素</w:t>
      </w:r>
      <w:proofErr w:type="spellStart"/>
      <w:r>
        <w:rPr>
          <w:lang w:eastAsia="zh-CN"/>
        </w:rPr>
        <w:t>a_j</w:t>
      </w:r>
      <w:proofErr w:type="spellEnd"/>
      <w:r>
        <w:rPr>
          <w:lang w:eastAsia="zh-CN"/>
        </w:rPr>
        <w:t>直接表示焦点方向线强度分布</w:t>
      </w:r>
      <w:r>
        <w:rPr>
          <w:lang w:eastAsia="zh-CN"/>
        </w:rPr>
        <w:t>Lₓ(</w:t>
      </w:r>
      <w:proofErr w:type="spellStart"/>
      <w:r>
        <w:rPr>
          <w:lang w:eastAsia="zh-CN"/>
        </w:rPr>
        <w:t>u_j</w:t>
      </w:r>
      <w:proofErr w:type="spellEnd"/>
      <w:r>
        <w:rPr>
          <w:lang w:eastAsia="zh-CN"/>
        </w:rPr>
        <w:t>)</w:t>
      </w:r>
      <w:r>
        <w:rPr>
          <w:lang w:eastAsia="zh-CN"/>
        </w:rPr>
        <w:t>的离散值，系统总比例因子</w:t>
      </w:r>
      <w:r>
        <w:rPr>
          <w:lang w:eastAsia="zh-CN"/>
        </w:rPr>
        <w:t>C</w:t>
      </w:r>
      <w:r>
        <w:rPr>
          <w:lang w:eastAsia="zh-CN"/>
        </w:rPr>
        <w:t>不再吸收到</w:t>
      </w:r>
      <w:r>
        <w:rPr>
          <w:lang w:eastAsia="zh-CN"/>
        </w:rPr>
        <w:t>a</w:t>
      </w:r>
      <w:r>
        <w:rPr>
          <w:lang w:eastAsia="zh-CN"/>
        </w:rPr>
        <w:t>中，而由辐射输出和探测器线性响应独立标定。</w:t>
      </w:r>
      <w:proofErr w:type="spellStart"/>
      <w:r>
        <w:t>系统矩阵元素可定义为</w:t>
      </w:r>
      <w:proofErr w:type="spellEnd"/>
      <w:r>
        <w:t>：</w:t>
      </w:r>
    </w:p>
    <w:tbl>
      <w:tblPr>
        <w:tblW w:w="8900" w:type="dxa"/>
        <w:tblBorders>
          <w:top w:val="nil"/>
          <w:left w:val="nil"/>
          <w:bottom w:val="nil"/>
          <w:right w:val="nil"/>
          <w:insideH w:val="nil"/>
          <w:insideV w:val="nil"/>
        </w:tblBorders>
        <w:tblLayout w:type="fixed"/>
        <w:tblLook w:val="04A0" w:firstRow="1" w:lastRow="0" w:firstColumn="1" w:lastColumn="0" w:noHBand="0" w:noVBand="1"/>
      </w:tblPr>
      <w:tblGrid>
        <w:gridCol w:w="8000"/>
        <w:gridCol w:w="900"/>
      </w:tblGrid>
      <w:tr w:rsidR="000B554E" w14:paraId="20F28617" w14:textId="77777777">
        <w:trPr>
          <w:cantSplit/>
        </w:trPr>
        <w:tc>
          <w:tcPr>
            <w:tcW w:w="8000" w:type="dxa"/>
            <w:tcMar>
              <w:top w:w="80" w:type="dxa"/>
              <w:left w:w="100" w:type="dxa"/>
              <w:bottom w:w="80" w:type="dxa"/>
              <w:right w:w="100" w:type="dxa"/>
            </w:tcMar>
            <w:vAlign w:val="center"/>
          </w:tcPr>
          <w:p w14:paraId="36E41080" w14:textId="77777777" w:rsidR="000B554E" w:rsidRDefault="00000000">
            <w:pPr>
              <w:spacing w:before="40" w:after="40"/>
              <w:jc w:val="center"/>
            </w:pPr>
            <m:oMathPara>
              <m:oMath>
                <m:sSub>
                  <m:sSubPr>
                    <m:ctrlPr>
                      <w:rPr>
                        <w:rFonts w:ascii="Cambria Math" w:hAnsi="Cambria Math"/>
                      </w:rPr>
                    </m:ctrlPr>
                  </m:sSubPr>
                  <m:e>
                    <m:r>
                      <w:rPr>
                        <w:rFonts w:ascii="Cambria Math" w:hAnsi="Cambria Math"/>
                      </w:rPr>
                      <m:t>H</m:t>
                    </m:r>
                  </m:e>
                  <m:sub>
                    <m:r>
                      <w:rPr>
                        <w:rFonts w:ascii="Cambria Math" w:hAnsi="Cambria Math"/>
                      </w:rPr>
                      <m:t>kj</m:t>
                    </m:r>
                  </m:sub>
                </m:sSub>
                <m:r>
                  <w:rPr>
                    <w:rFonts w:ascii="Cambria Math" w:hAnsi="Cambria Math"/>
                  </w:rPr>
                  <m:t>=G</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k</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j</m:t>
                        </m:r>
                      </m:sub>
                    </m:sSub>
                  </m:e>
                </m:d>
                <m:r>
                  <m:rPr>
                    <m:sty m:val="p"/>
                  </m:rPr>
                  <w:rPr>
                    <w:rFonts w:ascii="Cambria Math" w:hAnsi="Cambria Math"/>
                  </w:rPr>
                  <m:t>exp</m:t>
                </m:r>
                <m:d>
                  <m:dPr>
                    <m:begChr m:val="["/>
                    <m:endChr m:val="]"/>
                    <m:ctrlPr>
                      <w:rPr>
                        <w:rFonts w:ascii="Cambria Math" w:hAnsi="Cambria Math"/>
                      </w:rPr>
                    </m:ctrlPr>
                  </m:dPr>
                  <m:e>
                    <m:r>
                      <w:rPr>
                        <w:rFonts w:ascii="Cambria Math" w:hAnsi="Cambria Math"/>
                      </w:rPr>
                      <m:t>-</m:t>
                    </m:r>
                    <m:sSub>
                      <m:sSubPr>
                        <m:ctrlPr>
                          <w:rPr>
                            <w:rFonts w:ascii="Cambria Math" w:hAnsi="Cambria Math"/>
                          </w:rPr>
                        </m:ctrlPr>
                      </m:sSubPr>
                      <m:e>
                        <m:r>
                          <w:rPr>
                            <w:rFonts w:ascii="Cambria Math" w:hAnsi="Cambria Math"/>
                          </w:rPr>
                          <m:t>μ</m:t>
                        </m:r>
                      </m:e>
                      <m:sub>
                        <m:r>
                          <m:rPr>
                            <m:sty m:val="p"/>
                          </m:rPr>
                          <w:rPr>
                            <w:rFonts w:ascii="Cambria Math" w:hAnsi="Cambria Math"/>
                          </w:rPr>
                          <m:t>eff</m:t>
                        </m:r>
                      </m:sub>
                    </m:sSub>
                    <m:r>
                      <w:rPr>
                        <w:rFonts w:ascii="Cambria Math" w:hAnsi="Cambria Math"/>
                      </w:rPr>
                      <m:t>l</m:t>
                    </m:r>
                    <m:d>
                      <m:dPr>
                        <m:ctrlPr>
                          <w:rPr>
                            <w:rFonts w:ascii="Cambria Math" w:hAnsi="Cambria Math"/>
                          </w:rPr>
                        </m:ctrlPr>
                      </m:dPr>
                      <m:e>
                        <m:sSub>
                          <m:sSubPr>
                            <m:ctrlPr>
                              <w:rPr>
                                <w:rFonts w:ascii="Cambria Math" w:hAnsi="Cambria Math"/>
                              </w:rPr>
                            </m:ctrlPr>
                          </m:sSubPr>
                          <m:e>
                            <m:r>
                              <w:rPr>
                                <w:rFonts w:ascii="Cambria Math" w:hAnsi="Cambria Math"/>
                              </w:rPr>
                              <m:t>u</m:t>
                            </m:r>
                          </m:e>
                          <m:sub>
                            <m:r>
                              <w:rPr>
                                <w:rFonts w:ascii="Cambria Math" w:hAnsi="Cambria Math"/>
                              </w:rPr>
                              <m:t>j</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k</m:t>
                            </m:r>
                          </m:sub>
                        </m:sSub>
                      </m:e>
                    </m:d>
                  </m:e>
                </m:d>
                <m:r>
                  <w:rPr>
                    <w:rFonts w:ascii="Cambria Math" w:hAnsi="Cambria Math"/>
                  </w:rPr>
                  <m:t>Δu</m:t>
                </m:r>
              </m:oMath>
            </m:oMathPara>
          </w:p>
        </w:tc>
        <w:tc>
          <w:tcPr>
            <w:tcW w:w="900" w:type="dxa"/>
            <w:tcMar>
              <w:top w:w="80" w:type="dxa"/>
              <w:left w:w="100" w:type="dxa"/>
              <w:bottom w:w="80" w:type="dxa"/>
              <w:right w:w="100" w:type="dxa"/>
            </w:tcMar>
            <w:vAlign w:val="center"/>
          </w:tcPr>
          <w:p w14:paraId="6659DFFB" w14:textId="77777777" w:rsidR="000B554E" w:rsidRDefault="00000000">
            <w:pPr>
              <w:jc w:val="right"/>
            </w:pPr>
            <w:r>
              <w:t>(14)</w:t>
            </w:r>
          </w:p>
        </w:tc>
      </w:tr>
    </w:tbl>
    <w:p>
      <w:pPr>
        <w:ind w:firstLine="420"/>
        <w:jc w:val="both"/>
      </w:pPr>
      <w:r>
        <w:t>式（14）中，</w:t>
      </w:r>
      <w:r>
        <w:rPr>
          <w:rFonts w:ascii="Cambria Math" w:hAnsi="Cambria Math"/>
          <w:i/>
        </w:rPr>
        <w:t>H</w:t>
      </w:r>
      <w:r>
        <w:rPr>
          <w:rFonts w:ascii="Cambria Math" w:hAnsi="Cambria Math"/>
          <w:i/>
          <w:vertAlign w:val="subscript"/>
        </w:rPr>
        <w:t>kj</w:t>
      </w:r>
      <w:r>
        <w:t>为离散系统矩阵</w:t>
      </w:r>
      <w:r>
        <w:rPr>
          <w:rFonts w:ascii="Cambria Math" w:hAnsi="Cambria Math"/>
          <w:i/>
        </w:rPr>
        <w:t>H</w:t>
      </w:r>
      <w:r>
        <w:t>的第</w:t>
      </w:r>
      <w:r>
        <w:rPr>
          <w:rFonts w:ascii="Cambria Math" w:hAnsi="Cambria Math"/>
          <w:i/>
        </w:rPr>
        <w:t>k</w:t>
      </w:r>
      <w:r>
        <w:t>行第</w:t>
      </w:r>
      <w:r>
        <w:rPr>
          <w:rFonts w:ascii="Cambria Math" w:hAnsi="Cambria Math"/>
          <w:i/>
        </w:rPr>
        <w:t>j</w:t>
      </w:r>
      <w:r>
        <w:t>列元素；</w:t>
      </w:r>
      <w:r>
        <w:rPr>
          <w:rFonts w:ascii="Cambria Math" w:hAnsi="Cambria Math"/>
          <w:i/>
        </w:rPr>
        <w:t>X</w:t>
      </w:r>
      <w:r>
        <w:rPr>
          <w:rFonts w:ascii="Cambria Math" w:hAnsi="Cambria Math"/>
          <w:i/>
          <w:vertAlign w:val="subscript"/>
        </w:rPr>
        <w:t>k</w:t>
      </w:r>
      <w:r>
        <w:t>为第</w:t>
      </w:r>
      <w:r>
        <w:rPr>
          <w:rFonts w:ascii="Cambria Math" w:hAnsi="Cambria Math"/>
          <w:i/>
        </w:rPr>
        <w:t>k</w:t>
      </w:r>
      <w:r>
        <w:t>个观测位置，</w:t>
      </w:r>
      <w:r>
        <w:rPr>
          <w:rFonts w:ascii="Cambria Math" w:hAnsi="Cambria Math"/>
          <w:i/>
        </w:rPr>
        <w:t>u</w:t>
      </w:r>
      <w:r>
        <w:rPr>
          <w:rFonts w:ascii="Cambria Math" w:hAnsi="Cambria Math"/>
          <w:i/>
          <w:vertAlign w:val="subscript"/>
        </w:rPr>
        <w:t>j</w:t>
      </w:r>
      <w:r>
        <w:t>为第</w:t>
      </w:r>
      <w:r>
        <w:rPr>
          <w:rFonts w:ascii="Cambria Math" w:hAnsi="Cambria Math"/>
          <w:i/>
        </w:rPr>
        <w:t>j</w:t>
      </w:r>
      <w:r>
        <w:t>个焦点坐标，Δ</w:t>
      </w:r>
      <w:r>
        <w:rPr>
          <w:rFonts w:ascii="Cambria Math" w:hAnsi="Cambria Math"/>
          <w:i/>
        </w:rPr>
        <w:t>u</w:t>
      </w:r>
      <w:r>
        <w:t>为焦点坐标的离散间隔；</w:t>
      </w:r>
      <w:r>
        <w:rPr>
          <w:rFonts w:ascii="Cambria Math" w:hAnsi="Cambria Math"/>
          <w:i/>
        </w:rPr>
        <w:t>k</w:t>
      </w:r>
      <w:r>
        <w:t>和</w:t>
      </w:r>
      <w:r>
        <w:rPr>
          <w:rFonts w:ascii="Cambria Math" w:hAnsi="Cambria Math"/>
          <w:i/>
        </w:rPr>
        <w:t>j</w:t>
      </w:r>
      <w:r>
        <w:t>分别为观测位置索引与焦点位置索引。</w:t>
      </w:r>
    </w:p>
    <w:p w14:paraId="130ED508" w14:textId="77777777" w:rsidR="000B554E" w:rsidRDefault="00000000">
      <w:pPr>
        <w:ind w:firstLine="420"/>
        <w:jc w:val="both"/>
      </w:pPr>
      <w:r>
        <w:rPr>
          <w:rFonts w:cs="Times New Roman"/>
        </w:rPr>
        <w:t>离散观测模型为：</w:t>
      </w:r>
    </w:p>
    <w:tbl>
      <w:tblPr>
        <w:tblW w:w="8900" w:type="dxa"/>
        <w:tblBorders>
          <w:top w:val="nil"/>
          <w:left w:val="nil"/>
          <w:bottom w:val="nil"/>
          <w:right w:val="nil"/>
          <w:insideH w:val="nil"/>
          <w:insideV w:val="nil"/>
        </w:tblBorders>
        <w:tblLayout w:type="fixed"/>
        <w:tblLook w:val="04A0" w:firstRow="1" w:lastRow="0" w:firstColumn="1" w:lastColumn="0" w:noHBand="0" w:noVBand="1"/>
      </w:tblPr>
      <w:tblGrid>
        <w:gridCol w:w="8000"/>
        <w:gridCol w:w="900"/>
      </w:tblGrid>
      <w:tr w:rsidR="000B554E" w14:paraId="1449CA02" w14:textId="77777777">
        <w:trPr>
          <w:cantSplit/>
        </w:trPr>
        <w:tc>
          <w:tcPr>
            <w:tcW w:w="8000" w:type="dxa"/>
            <w:tcMar>
              <w:top w:w="80" w:type="dxa"/>
              <w:left w:w="100" w:type="dxa"/>
              <w:bottom w:w="80" w:type="dxa"/>
              <w:right w:w="100" w:type="dxa"/>
            </w:tcMar>
            <w:vAlign w:val="center"/>
          </w:tcPr>
          <w:p w14:paraId="3B0F61FB" w14:textId="77777777" w:rsidR="000B554E" w:rsidRDefault="00000000">
            <w:pPr>
              <w:spacing w:before="40" w:after="40"/>
              <w:jc w:val="center"/>
            </w:pPr>
            <m:oMathPara>
              <m:oMath>
                <m:r>
                  <m:rPr>
                    <m:sty m:val="b"/>
                  </m:rPr>
                  <w:rPr>
                    <w:rFonts w:ascii="Cambria Math" w:hAnsi="Cambria Math"/>
                  </w:rPr>
                  <m:t>j</m:t>
                </m:r>
                <m:r>
                  <w:rPr>
                    <w:rFonts w:ascii="Cambria Math" w:hAnsi="Cambria Math"/>
                  </w:rPr>
                  <m:t>=C</m:t>
                </m:r>
                <m:r>
                  <m:rPr>
                    <m:sty m:val="b"/>
                  </m:rPr>
                  <w:rPr>
                    <w:rFonts w:ascii="Cambria Math" w:hAnsi="Cambria Math"/>
                  </w:rPr>
                  <m:t>Ha</m:t>
                </m:r>
                <m:r>
                  <w:rPr>
                    <w:rFonts w:ascii="Cambria Math" w:hAnsi="Cambria Math"/>
                  </w:rPr>
                  <m:t>+B1+</m:t>
                </m:r>
                <m:r>
                  <m:rPr>
                    <m:sty m:val="b"/>
                  </m:rPr>
                  <w:rPr>
                    <w:rFonts w:ascii="Cambria Math" w:hAnsi="Cambria Math"/>
                  </w:rPr>
                  <m:t>ε</m:t>
                </m:r>
              </m:oMath>
            </m:oMathPara>
          </w:p>
        </w:tc>
        <w:tc>
          <w:tcPr>
            <w:tcW w:w="900" w:type="dxa"/>
            <w:tcMar>
              <w:top w:w="80" w:type="dxa"/>
              <w:left w:w="100" w:type="dxa"/>
              <w:bottom w:w="80" w:type="dxa"/>
              <w:right w:w="100" w:type="dxa"/>
            </w:tcMar>
            <w:vAlign w:val="center"/>
          </w:tcPr>
          <w:p w14:paraId="582EBE5D" w14:textId="77777777" w:rsidR="000B554E" w:rsidRDefault="00000000">
            <w:pPr>
              <w:jc w:val="right"/>
            </w:pPr>
            <w:r>
              <w:t>(15)</w:t>
            </w:r>
          </w:p>
        </w:tc>
      </w:tr>
    </w:tbl>
    <w:p>
      <w:pPr>
        <w:ind w:firstLine="420"/>
        <w:jc w:val="both"/>
        <w:rPr>
          <w:lang w:eastAsia="zh-CN"/>
        </w:rPr>
      </w:pPr>
      <w:r>
        <w:t>式（15）中，粗体</w:t>
      </w:r>
      <w:r>
        <w:rPr>
          <w:rFonts w:ascii="Cambria Math" w:hAnsi="Cambria Math"/>
          <w:i/>
        </w:rPr>
        <w:t>j</w:t>
      </w:r>
      <w:r>
        <w:t>为观测强度向量，粗体</w:t>
      </w:r>
      <w:r>
        <w:rPr>
          <w:rFonts w:ascii="Cambria Math" w:hAnsi="Cambria Math"/>
          <w:i/>
        </w:rPr>
        <w:t>H</w:t>
      </w:r>
      <w:r>
        <w:t>为由式（14）组成的系统矩阵，粗体</w:t>
      </w:r>
      <w:r>
        <w:rPr>
          <w:rFonts w:ascii="Cambria Math" w:hAnsi="Cambria Math"/>
          <w:i/>
        </w:rPr>
        <w:t>a</w:t>
      </w:r>
      <w:r>
        <w:t>为待估计的非负焦点方向强度向量；</w:t>
      </w:r>
      <w:r>
        <w:rPr>
          <w:rFonts w:ascii="Cambria Math" w:hAnsi="Cambria Math"/>
          <w:i/>
        </w:rPr>
        <w:t>B</w:t>
      </w:r>
      <w:r>
        <w:t>为常数背景，粗体1为与观测向量等长的全1向量，粗体</w:t>
      </w:r>
      <w:r>
        <w:rPr>
          <w:rFonts w:ascii="Cambria Math" w:hAnsi="Cambria Math"/>
          <w:i/>
        </w:rPr>
        <w:t>ε</w:t>
      </w:r>
      <w:r>
        <w:t>为测量噪声与模型误差向量，</w:t>
      </w:r>
      <w:r>
        <w:rPr>
          <w:rFonts w:ascii="Cambria Math" w:hAnsi="Cambria Math"/>
          <w:i/>
        </w:rPr>
        <w:t>C</w:t>
      </w:r>
      <w:r>
        <w:t>为独立标定的系统总比例因子。</w:t>
      </w:r>
    </w:p>
    <w:p w14:paraId="6DD7687E" w14:textId="77777777" w:rsidR="000B554E" w:rsidRDefault="00000000">
      <w:pPr>
        <w:ind w:firstLine="420"/>
        <w:jc w:val="both"/>
        <w:rPr>
          <w:lang w:eastAsia="zh-CN"/>
        </w:rPr>
      </w:pPr>
      <w:r>
        <w:t>由于双圆柱响应核的相邻列高度相关，直接最小二乘会放大噪声。为避免非物理负值并抑制高频振荡，引入二阶差分算子：</w:t>
      </w:r>
    </w:p>
    <w:tbl>
      <w:tblPr>
        <w:tblW w:w="8900" w:type="dxa"/>
        <w:tblBorders>
          <w:top w:val="nil"/>
          <w:left w:val="nil"/>
          <w:bottom w:val="nil"/>
          <w:right w:val="nil"/>
          <w:insideH w:val="nil"/>
          <w:insideV w:val="nil"/>
        </w:tblBorders>
        <w:tblLayout w:type="fixed"/>
        <w:tblLook w:val="04A0" w:firstRow="1" w:lastRow="0" w:firstColumn="1" w:lastColumn="0" w:noHBand="0" w:noVBand="1"/>
      </w:tblPr>
      <w:tblGrid>
        <w:gridCol w:w="8000"/>
        <w:gridCol w:w="900"/>
      </w:tblGrid>
      <w:tr w:rsidR="000B554E" w14:paraId="3606D777" w14:textId="77777777">
        <w:trPr>
          <w:cantSplit/>
        </w:trPr>
        <w:tc>
          <w:tcPr>
            <w:tcW w:w="8000" w:type="dxa"/>
            <w:tcMar>
              <w:top w:w="80" w:type="dxa"/>
              <w:left w:w="100" w:type="dxa"/>
              <w:bottom w:w="80" w:type="dxa"/>
              <w:right w:w="100" w:type="dxa"/>
            </w:tcMar>
            <w:vAlign w:val="center"/>
          </w:tcPr>
          <w:p w14:paraId="7BD0ABB2" w14:textId="77777777" w:rsidR="000B554E" w:rsidRDefault="00000000">
            <w:pPr>
              <w:spacing w:before="40" w:after="40"/>
              <w:jc w:val="center"/>
            </w:pPr>
            <m:oMathPara>
              <m:oMath>
                <m:sSub>
                  <m:sSubPr>
                    <m:ctrlPr>
                      <w:rPr>
                        <w:rFonts w:ascii="Cambria Math" w:hAnsi="Cambria Math"/>
                      </w:rPr>
                    </m:ctrlPr>
                  </m:sSubPr>
                  <m:e>
                    <m:d>
                      <m:dPr>
                        <m:ctrlPr>
                          <w:rPr>
                            <w:rFonts w:ascii="Cambria Math" w:hAnsi="Cambria Math"/>
                          </w:rPr>
                        </m:ctrlPr>
                      </m:dPr>
                      <m:e>
                        <m:sSub>
                          <m:sSubPr>
                            <m:ctrlPr>
                              <w:rPr>
                                <w:rFonts w:ascii="Cambria Math" w:hAnsi="Cambria Math"/>
                              </w:rPr>
                            </m:ctrlPr>
                          </m:sSubPr>
                          <m:e>
                            <m:r>
                              <w:rPr>
                                <w:rFonts w:ascii="Cambria Math" w:hAnsi="Cambria Math"/>
                              </w:rPr>
                              <m:t>D</m:t>
                            </m:r>
                          </m:e>
                          <m:sub>
                            <m:r>
                              <w:rPr>
                                <w:rFonts w:ascii="Cambria Math" w:hAnsi="Cambria Math"/>
                              </w:rPr>
                              <m:t>2</m:t>
                            </m:r>
                          </m:sub>
                        </m:sSub>
                        <m:r>
                          <m:rPr>
                            <m:sty m:val="b"/>
                          </m:rPr>
                          <w:rPr>
                            <w:rFonts w:ascii="Cambria Math" w:hAnsi="Cambria Math"/>
                          </w:rPr>
                          <m:t>a</m:t>
                        </m:r>
                      </m:e>
                    </m:d>
                  </m:e>
                  <m:sub>
                    <m:r>
                      <w:rPr>
                        <w:rFonts w:ascii="Cambria Math" w:hAnsi="Cambria Math"/>
                      </w:rPr>
                      <m:t>j</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j</m:t>
                    </m:r>
                  </m:sub>
                </m:sSub>
                <m:r>
                  <w:rPr>
                    <w:rFonts w:ascii="Cambria Math" w:hAnsi="Cambria Math"/>
                  </w:rPr>
                  <m:t>-2</m:t>
                </m:r>
                <m:sSub>
                  <m:sSubPr>
                    <m:ctrlPr>
                      <w:rPr>
                        <w:rFonts w:ascii="Cambria Math" w:hAnsi="Cambria Math"/>
                      </w:rPr>
                    </m:ctrlPr>
                  </m:sSubPr>
                  <m:e>
                    <m:r>
                      <w:rPr>
                        <w:rFonts w:ascii="Cambria Math" w:hAnsi="Cambria Math"/>
                      </w:rPr>
                      <m:t>a</m:t>
                    </m:r>
                  </m:e>
                  <m:sub>
                    <m:r>
                      <w:rPr>
                        <w:rFonts w:ascii="Cambria Math" w:hAnsi="Cambria Math"/>
                      </w:rPr>
                      <m:t>j+1</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j+2</m:t>
                    </m:r>
                  </m:sub>
                </m:sSub>
              </m:oMath>
            </m:oMathPara>
          </w:p>
        </w:tc>
        <w:tc>
          <w:tcPr>
            <w:tcW w:w="900" w:type="dxa"/>
            <w:tcMar>
              <w:top w:w="80" w:type="dxa"/>
              <w:left w:w="100" w:type="dxa"/>
              <w:bottom w:w="80" w:type="dxa"/>
              <w:right w:w="100" w:type="dxa"/>
            </w:tcMar>
            <w:vAlign w:val="center"/>
          </w:tcPr>
          <w:p w14:paraId="0F57CAAC" w14:textId="77777777" w:rsidR="000B554E" w:rsidRDefault="00000000">
            <w:pPr>
              <w:jc w:val="right"/>
            </w:pPr>
            <w:r>
              <w:t>(16)</w:t>
            </w:r>
          </w:p>
        </w:tc>
      </w:tr>
    </w:tbl>
    <w:p>
      <w:pPr>
        <w:ind w:firstLine="420"/>
        <w:jc w:val="both"/>
        <w:rPr>
          <w:lang w:eastAsia="zh-CN"/>
        </w:rPr>
      </w:pPr>
      <w:r>
        <w:t>式（16）中，</w:t>
      </w:r>
      <w:r>
        <w:rPr>
          <w:rFonts w:ascii="Cambria Math" w:hAnsi="Cambria Math"/>
          <w:i/>
        </w:rPr>
        <w:t>D</w:t>
      </w:r>
      <w:r>
        <w:rPr>
          <w:rFonts w:ascii="Cambria Math" w:hAnsi="Cambria Math"/>
          <w:i/>
          <w:vertAlign w:val="subscript"/>
        </w:rPr>
        <w:t>2</w:t>
      </w:r>
      <w:r>
        <w:t>为二阶差分算子，</w:t>
      </w:r>
      <w:r>
        <w:rPr>
          <w:rFonts w:ascii="Cambria Math" w:hAnsi="Cambria Math"/>
          <w:i/>
        </w:rPr>
        <w:t>D</w:t>
      </w:r>
      <w:r>
        <w:rPr>
          <w:rFonts w:ascii="Cambria Math" w:hAnsi="Cambria Math"/>
          <w:i/>
          <w:vertAlign w:val="subscript"/>
        </w:rPr>
        <w:t>2a</w:t>
      </w:r>
      <w:r>
        <w:t>的第</w:t>
      </w:r>
      <w:r>
        <w:rPr>
          <w:rFonts w:ascii="Cambria Math" w:hAnsi="Cambria Math"/>
          <w:i/>
        </w:rPr>
        <w:t>j</w:t>
      </w:r>
      <w:r>
        <w:t>个分量表示该算子作用于强度向量</w:t>
      </w:r>
      <w:r>
        <w:rPr>
          <w:rFonts w:ascii="Cambria Math" w:hAnsi="Cambria Math"/>
          <w:i/>
        </w:rPr>
        <w:t>a</w:t>
      </w:r>
      <w:r>
        <w:t>后的局部二阶差分；</w:t>
      </w:r>
      <w:r>
        <w:rPr>
          <w:rFonts w:ascii="Cambria Math" w:hAnsi="Cambria Math"/>
          <w:i/>
        </w:rPr>
        <w:t>a</w:t>
      </w:r>
      <w:r>
        <w:rPr>
          <w:rFonts w:ascii="Cambria Math" w:hAnsi="Cambria Math"/>
          <w:i/>
          <w:vertAlign w:val="subscript"/>
        </w:rPr>
        <w:t>j</w:t>
      </w:r>
      <w:r>
        <w:t>、</w:t>
      </w:r>
      <w:r>
        <w:rPr>
          <w:rFonts w:ascii="Cambria Math" w:hAnsi="Cambria Math"/>
          <w:i/>
        </w:rPr>
        <w:t>a</w:t>
      </w:r>
      <w:r>
        <w:rPr>
          <w:rFonts w:ascii="Cambria Math" w:hAnsi="Cambria Math"/>
          <w:i/>
          <w:vertAlign w:val="subscript"/>
        </w:rPr>
        <w:t>j+1</w:t>
      </w:r>
      <w:r>
        <w:t>和</w:t>
      </w:r>
      <w:r>
        <w:rPr>
          <w:rFonts w:ascii="Cambria Math" w:hAnsi="Cambria Math"/>
          <w:i/>
        </w:rPr>
        <w:t>a</w:t>
      </w:r>
      <w:r>
        <w:rPr>
          <w:rFonts w:ascii="Cambria Math" w:hAnsi="Cambria Math"/>
          <w:i/>
          <w:vertAlign w:val="subscript"/>
        </w:rPr>
        <w:t>j+2</w:t>
      </w:r>
      <w:r>
        <w:t>为相邻三个焦点离散位置处的方向强度。</w:t>
      </w:r>
    </w:p>
    <w:p w14:paraId="3F84C5CD" w14:textId="77777777" w:rsidR="000B554E" w:rsidRDefault="00000000">
      <w:pPr>
        <w:ind w:firstLine="420"/>
        <w:jc w:val="both"/>
        <w:rPr>
          <w:lang w:eastAsia="zh-CN"/>
        </w:rPr>
      </w:pPr>
      <w:r>
        <w:rPr>
          <w:rFonts w:cs="Times New Roman"/>
          <w:lang w:eastAsia="zh-CN"/>
        </w:rPr>
        <w:t>采用带边界约束的</w:t>
      </w:r>
      <w:r>
        <w:rPr>
          <w:rFonts w:cs="Times New Roman"/>
          <w:lang w:eastAsia="zh-CN"/>
        </w:rPr>
        <w:t>Tikhonov</w:t>
      </w:r>
      <w:r>
        <w:rPr>
          <w:rFonts w:cs="Times New Roman"/>
          <w:lang w:eastAsia="zh-CN"/>
        </w:rPr>
        <w:t>正则化求解：</w:t>
      </w:r>
    </w:p>
    <w:tbl>
      <w:tblPr>
        <w:tblW w:w="8900" w:type="dxa"/>
        <w:tblBorders>
          <w:top w:val="nil"/>
          <w:left w:val="nil"/>
          <w:bottom w:val="nil"/>
          <w:right w:val="nil"/>
          <w:insideH w:val="nil"/>
          <w:insideV w:val="nil"/>
        </w:tblBorders>
        <w:tblLayout w:type="fixed"/>
        <w:tblLook w:val="04A0" w:firstRow="1" w:lastRow="0" w:firstColumn="1" w:lastColumn="0" w:noHBand="0" w:noVBand="1"/>
      </w:tblPr>
      <w:tblGrid>
        <w:gridCol w:w="8000"/>
        <w:gridCol w:w="900"/>
      </w:tblGrid>
      <w:tr w:rsidR="000B554E" w14:paraId="7A7B6264" w14:textId="77777777">
        <w:trPr>
          <w:cantSplit/>
        </w:trPr>
        <w:tc>
          <w:tcPr>
            <w:tcW w:w="8000" w:type="dxa"/>
            <w:tcMar>
              <w:top w:w="80" w:type="dxa"/>
              <w:left w:w="100" w:type="dxa"/>
              <w:bottom w:w="80" w:type="dxa"/>
              <w:right w:w="100" w:type="dxa"/>
            </w:tcMar>
            <w:vAlign w:val="center"/>
          </w:tcPr>
          <w:p w14:paraId="63A50D95" w14:textId="77777777" w:rsidR="000B554E" w:rsidRDefault="00000000">
            <w:pPr>
              <w:spacing w:before="40" w:after="40"/>
              <w:jc w:val="center"/>
            </w:pPr>
            <m:oMathPara>
              <m:oMath>
                <m:r>
                  <w:rPr>
                    <w:rFonts w:ascii="Cambria Math" w:hAnsi="Cambria Math"/>
                  </w:rPr>
                  <m:t>(</m:t>
                </m:r>
                <m:limUpp>
                  <m:limUppPr>
                    <m:ctrlPr>
                      <w:rPr>
                        <w:rFonts w:ascii="Cambria Math" w:hAnsi="Cambria Math"/>
                      </w:rPr>
                    </m:ctrlPr>
                  </m:limUppPr>
                  <m:e>
                    <m:r>
                      <m:rPr>
                        <m:sty m:val="b"/>
                      </m:rPr>
                      <w:rPr>
                        <w:rFonts w:ascii="Cambria Math" w:hAnsi="Cambria Math"/>
                      </w:rPr>
                      <m:t>a</m:t>
                    </m:r>
                  </m:e>
                  <m:lim>
                    <m:r>
                      <w:rPr>
                        <w:rFonts w:ascii="Cambria Math" w:hAnsi="Cambria Math"/>
                      </w:rPr>
                      <m:t>^</m:t>
                    </m:r>
                  </m:lim>
                </m:limUpp>
                <m:r>
                  <w:rPr>
                    <w:rFonts w:ascii="Cambria Math" w:hAnsi="Cambria Math"/>
                  </w:rPr>
                  <m:t>,</m:t>
                </m:r>
                <m:limUpp>
                  <m:limUppPr>
                    <m:ctrlPr>
                      <w:rPr>
                        <w:rFonts w:ascii="Cambria Math" w:hAnsi="Cambria Math"/>
                      </w:rPr>
                    </m:ctrlPr>
                  </m:limUppPr>
                  <m:e>
                    <m:r>
                      <w:rPr>
                        <w:rFonts w:ascii="Cambria Math" w:hAnsi="Cambria Math"/>
                      </w:rPr>
                      <m:t>B</m:t>
                    </m:r>
                  </m:e>
                  <m:lim>
                    <m:r>
                      <w:rPr>
                        <w:rFonts w:ascii="Cambria Math" w:hAnsi="Cambria Math"/>
                      </w:rPr>
                      <m:t>^</m:t>
                    </m:r>
                  </m:lim>
                </m:limUpp>
                <m:r>
                  <w:rPr>
                    <w:rFonts w:ascii="Cambria Math" w:hAnsi="Cambria Math"/>
                  </w:rPr>
                  <m:t>)=</m:t>
                </m:r>
                <m:sSub>
                  <m:sSubPr>
                    <m:ctrlPr>
                      <w:rPr>
                        <w:rFonts w:ascii="Cambria Math" w:hAnsi="Cambria Math"/>
                      </w:rPr>
                    </m:ctrlPr>
                  </m:sSubPr>
                  <m:e>
                    <m:r>
                      <m:rPr>
                        <m:sty m:val="p"/>
                      </m:rPr>
                      <w:rPr>
                        <w:rFonts w:ascii="Cambria Math" w:hAnsi="Cambria Math"/>
                      </w:rPr>
                      <m:t>arg min</m:t>
                    </m:r>
                  </m:e>
                  <m:sub>
                    <m:r>
                      <m:rPr>
                        <m:sty m:val="b"/>
                      </m:rPr>
                      <w:rPr>
                        <w:rFonts w:ascii="Cambria Math" w:hAnsi="Cambria Math"/>
                      </w:rPr>
                      <m:t>a</m:t>
                    </m:r>
                    <m:r>
                      <w:rPr>
                        <w:rFonts w:ascii="Cambria Math" w:hAnsi="Cambria Math"/>
                      </w:rPr>
                      <m:t>≥0,B∈</m:t>
                    </m:r>
                    <m:r>
                      <m:rPr>
                        <m:sty m:val="p"/>
                      </m:rPr>
                      <w:rPr>
                        <w:rFonts w:ascii="Cambria Math" w:hAnsi="Cambria Math"/>
                      </w:rPr>
                      <m:t>R</m:t>
                    </m:r>
                  </m:sub>
                </m:sSub>
                <m:sSup>
                  <m:sSupPr>
                    <m:ctrlPr>
                      <w:rPr>
                        <w:rFonts w:ascii="Cambria Math" w:hAnsi="Cambria Math"/>
                      </w:rPr>
                    </m:ctrlPr>
                  </m:sSupPr>
                  <m:e>
                    <m:sSub>
                      <m:sSubPr>
                        <m:ctrlPr>
                          <w:rPr>
                            <w:rFonts w:ascii="Cambria Math" w:hAnsi="Cambria Math"/>
                          </w:rPr>
                        </m:ctrlPr>
                      </m:sSubPr>
                      <m:e>
                        <m:r>
                          <w:rPr>
                            <w:rFonts w:ascii="Cambria Math" w:hAnsi="Cambria Math"/>
                          </w:rPr>
                          <m:t>‖C</m:t>
                        </m:r>
                        <m:r>
                          <m:rPr>
                            <m:sty m:val="b"/>
                          </m:rPr>
                          <w:rPr>
                            <w:rFonts w:ascii="Cambria Math" w:hAnsi="Cambria Math"/>
                          </w:rPr>
                          <m:t>Ha</m:t>
                        </m:r>
                        <m:r>
                          <w:rPr>
                            <w:rFonts w:ascii="Cambria Math" w:hAnsi="Cambria Math"/>
                          </w:rPr>
                          <m:t>+B1-</m:t>
                        </m:r>
                        <m:r>
                          <m:rPr>
                            <m:sty m:val="b"/>
                          </m:rPr>
                          <w:rPr>
                            <w:rFonts w:ascii="Cambria Math" w:hAnsi="Cambria Math"/>
                          </w:rPr>
                          <m:t>j</m:t>
                        </m:r>
                        <m:r>
                          <w:rPr>
                            <w:rFonts w:ascii="Cambria Math" w:hAnsi="Cambria Math"/>
                          </w:rPr>
                          <m:t>‖</m:t>
                        </m:r>
                      </m:e>
                      <m:sub>
                        <m:r>
                          <w:rPr>
                            <w:rFonts w:ascii="Cambria Math" w:hAnsi="Cambria Math"/>
                          </w:rPr>
                          <m:t>2</m:t>
                        </m:r>
                      </m:sub>
                    </m:sSub>
                  </m:e>
                  <m:sup>
                    <m:r>
                      <w:rPr>
                        <w:rFonts w:ascii="Cambria Math" w:hAnsi="Cambria Math"/>
                      </w:rPr>
                      <m:t>2</m:t>
                    </m:r>
                  </m:sup>
                </m:sSup>
                <m:r>
                  <w:rPr>
                    <w:rFonts w:ascii="Cambria Math" w:hAnsi="Cambria Math"/>
                  </w:rPr>
                  <m:t>+α</m:t>
                </m:r>
                <m:sSup>
                  <m:sSupPr>
                    <m:ctrlPr>
                      <w:rPr>
                        <w:rFonts w:ascii="Cambria Math" w:hAnsi="Cambria Math"/>
                      </w:rPr>
                    </m:ctrlPr>
                  </m:sSupPr>
                  <m:e>
                    <m:sSub>
                      <m:sSubPr>
                        <m:ctrlPr>
                          <w:rPr>
                            <w:rFonts w:ascii="Cambria Math" w:hAnsi="Cambria Math"/>
                          </w:rPr>
                        </m:ctrlPr>
                      </m:sSubPr>
                      <m:e>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2</m:t>
                            </m:r>
                          </m:sub>
                        </m:sSub>
                        <m:r>
                          <m:rPr>
                            <m:sty m:val="b"/>
                          </m:rPr>
                          <w:rPr>
                            <w:rFonts w:ascii="Cambria Math" w:hAnsi="Cambria Math"/>
                          </w:rPr>
                          <m:t>a</m:t>
                        </m:r>
                        <m:r>
                          <w:rPr>
                            <w:rFonts w:ascii="Cambria Math" w:hAnsi="Cambria Math"/>
                          </w:rPr>
                          <m:t>‖</m:t>
                        </m:r>
                      </m:e>
                      <m:sub>
                        <m:r>
                          <w:rPr>
                            <w:rFonts w:ascii="Cambria Math" w:hAnsi="Cambria Math"/>
                          </w:rPr>
                          <m:t>2</m:t>
                        </m:r>
                      </m:sub>
                    </m:sSub>
                  </m:e>
                  <m:sup>
                    <m:r>
                      <w:rPr>
                        <w:rFonts w:ascii="Cambria Math" w:hAnsi="Cambria Math"/>
                      </w:rPr>
                      <m:t>2</m:t>
                    </m:r>
                  </m:sup>
                </m:sSup>
              </m:oMath>
            </m:oMathPara>
          </w:p>
        </w:tc>
        <w:tc>
          <w:tcPr>
            <w:tcW w:w="900" w:type="dxa"/>
            <w:tcMar>
              <w:top w:w="80" w:type="dxa"/>
              <w:left w:w="100" w:type="dxa"/>
              <w:bottom w:w="80" w:type="dxa"/>
              <w:right w:w="100" w:type="dxa"/>
            </w:tcMar>
            <w:vAlign w:val="center"/>
          </w:tcPr>
          <w:p w14:paraId="4E06EB3D" w14:textId="77777777" w:rsidR="000B554E" w:rsidRDefault="00000000">
            <w:pPr>
              <w:jc w:val="right"/>
            </w:pPr>
            <w:r>
              <w:t>(17)</w:t>
            </w:r>
          </w:p>
        </w:tc>
      </w:tr>
    </w:tbl>
    <w:p>
      <w:pPr>
        <w:ind w:firstLine="420"/>
        <w:jc w:val="both"/>
        <w:rPr>
          <w:lang w:eastAsia="zh-CN"/>
        </w:rPr>
      </w:pPr>
      <w:r>
        <w:t>式（17）中，</w:t>
      </w:r>
      <w:r>
        <w:rPr>
          <w:rFonts w:ascii="Cambria Math" w:hAnsi="Cambria Math"/>
          <w:i/>
        </w:rPr>
        <w:t>â</w:t>
      </w:r>
      <w:r>
        <w:t>和</w:t>
      </w:r>
      <w:r>
        <w:rPr>
          <w:rFonts w:ascii="Cambria Math" w:hAnsi="Cambria Math"/>
          <w:i/>
        </w:rPr>
        <w:t>B</w:t>
      </w:r>
      <w:r>
        <w:t>̂分别为焦点方向强度向量与背景的估计值；arg min表示使目标函数取得最小值的参数；</w:t>
      </w:r>
      <w:r>
        <w:rPr>
          <w:rFonts w:ascii="Cambria Math" w:hAnsi="Cambria Math"/>
          <w:i/>
        </w:rPr>
        <w:t>a</w:t>
      </w:r>
      <w:r>
        <w:t>≥0为非负约束，</w:t>
      </w:r>
      <w:r>
        <w:rPr>
          <w:rFonts w:ascii="Cambria Math" w:hAnsi="Cambria Math"/>
          <w:i/>
        </w:rPr>
        <w:t>B</w:t>
      </w:r>
      <w:r>
        <w:t>∈</w:t>
      </w:r>
      <w:r>
        <w:rPr>
          <w:rFonts w:ascii="Cambria Math" w:hAnsi="Cambria Math"/>
          <w:i/>
        </w:rPr>
        <w:t>R</w:t>
      </w:r>
      <w:r>
        <w:t>表示背景取实数；</w:t>
      </w:r>
      <w:r>
        <w:rPr>
          <w:rFonts w:ascii="Cambria Math" w:hAnsi="Cambria Math"/>
          <w:i/>
        </w:rPr>
        <w:t>α</w:t>
      </w:r>
      <w:r>
        <w:t>≥0为正则化参数；下标2表示欧氏范数，范数右上角的2表示平方。</w:t>
      </w:r>
    </w:p>
    <w:p w14:paraId="6A7A915C" w14:textId="77777777" w:rsidR="000B554E" w:rsidRDefault="00000000">
      <w:pPr>
        <w:ind w:firstLine="420"/>
        <w:jc w:val="both"/>
        <w:rPr>
          <w:lang w:eastAsia="zh-CN"/>
        </w:rPr>
      </w:pPr>
      <w:r>
        <w:t>α过小会放大噪声并产生振荡，α过大则会抹平真实峰形并系统性增大宽度。因此，正则化强度应依据残差水平、解的稳定性和独立验证结果确定，并对不同对象采用一致的选择准则。非负约束体现焦点强度的物理属性，二阶差分项则表达LSF在有限尺度上平滑变化的一般先验。</w:t>
      </w:r>
    </w:p>
    <w:p w14:paraId="7B275A26" w14:textId="12C7DD1B" w:rsidR="000B554E" w:rsidRDefault="00000000">
      <w:pPr>
        <w:ind w:firstLine="420"/>
        <w:jc w:val="both"/>
        <w:rPr>
          <w:lang w:eastAsia="zh-CN"/>
        </w:rPr>
      </w:pPr>
      <w:r>
        <w:rPr>
          <w:lang w:eastAsia="zh-CN"/>
        </w:rPr>
        <w:t>恢复的离散强度及其沿焦点方向的积分分别定义为：</w:t>
      </w:r>
    </w:p>
    <w:tbl>
      <w:tblPr>
        <w:tblW w:w="8900" w:type="dxa"/>
        <w:tblBorders>
          <w:top w:val="nil"/>
          <w:left w:val="nil"/>
          <w:bottom w:val="nil"/>
          <w:right w:val="nil"/>
          <w:insideH w:val="nil"/>
          <w:insideV w:val="nil"/>
        </w:tblBorders>
        <w:tblLayout w:type="fixed"/>
        <w:tblLook w:val="04A0" w:firstRow="1" w:lastRow="0" w:firstColumn="1" w:lastColumn="0" w:noHBand="0" w:noVBand="1"/>
      </w:tblPr>
      <w:tblGrid>
        <w:gridCol w:w="8000"/>
        <w:gridCol w:w="900"/>
      </w:tblGrid>
      <w:tr w:rsidR="000B554E" w14:paraId="733E3F6A" w14:textId="77777777">
        <w:trPr>
          <w:cantSplit/>
        </w:trPr>
        <w:tc>
          <w:tcPr>
            <w:tcW w:w="8000" w:type="dxa"/>
            <w:tcMar>
              <w:top w:w="80" w:type="dxa"/>
              <w:left w:w="100" w:type="dxa"/>
              <w:bottom w:w="80" w:type="dxa"/>
              <w:right w:w="100" w:type="dxa"/>
            </w:tcMar>
            <w:vAlign w:val="center"/>
          </w:tcPr>
          <w:p w14:paraId="2FBA5AF1" w14:textId="77777777" w:rsidR="000B554E" w:rsidRDefault="00000000">
            <w:pPr>
              <w:spacing w:before="40" w:after="40"/>
              <w:jc w:val="center"/>
            </w:pPr>
            <m:oMathPara>
              <m:oMath>
                <m:sSub>
                  <m:sSubPr>
                    <m:ctrlPr>
                      <w:rPr>
                        <w:rFonts w:ascii="Cambria Math" w:hAnsi="Cambria Math"/>
                      </w:rPr>
                    </m:ctrlPr>
                  </m:sSubPr>
                  <m:e>
                    <m:limUpp>
                      <m:limUppPr>
                        <m:ctrlPr>
                          <w:rPr>
                            <w:rFonts w:ascii="Cambria Math" w:hAnsi="Cambria Math"/>
                          </w:rPr>
                        </m:ctrlPr>
                      </m:limUppPr>
                      <m:e>
                        <m:r>
                          <w:rPr>
                            <w:rFonts w:ascii="Cambria Math" w:hAnsi="Cambria Math"/>
                          </w:rPr>
                          <m:t>L</m:t>
                        </m:r>
                      </m:e>
                      <m:lim>
                        <m:r>
                          <w:rPr>
                            <w:rFonts w:ascii="Cambria Math" w:hAnsi="Cambria Math"/>
                          </w:rPr>
                          <m:t>^</m:t>
                        </m:r>
                      </m:lim>
                    </m:limUpp>
                  </m:e>
                  <m:sub>
                    <m:r>
                      <w:rPr>
                        <w:rFonts w:ascii="Cambria Math" w:hAnsi="Cambria Math"/>
                      </w:rPr>
                      <m:t>x</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j</m:t>
                    </m:r>
                  </m:sub>
                </m:sSub>
                <m:r>
                  <w:rPr>
                    <w:rFonts w:ascii="Cambria Math" w:hAnsi="Cambria Math"/>
                  </w:rPr>
                  <m:t>)=</m:t>
                </m:r>
                <m:sSub>
                  <m:sSubPr>
                    <m:ctrlPr>
                      <w:rPr>
                        <w:rFonts w:ascii="Cambria Math" w:hAnsi="Cambria Math"/>
                      </w:rPr>
                    </m:ctrlPr>
                  </m:sSubPr>
                  <m:e>
                    <m:limUpp>
                      <m:limUppPr>
                        <m:ctrlPr>
                          <w:rPr>
                            <w:rFonts w:ascii="Cambria Math" w:hAnsi="Cambria Math"/>
                          </w:rPr>
                        </m:ctrlPr>
                      </m:limUppPr>
                      <m:e>
                        <m:r>
                          <w:rPr>
                            <w:rFonts w:ascii="Cambria Math" w:hAnsi="Cambria Math"/>
                          </w:rPr>
                          <m:t>a</m:t>
                        </m:r>
                      </m:e>
                      <m:lim>
                        <m:r>
                          <w:rPr>
                            <w:rFonts w:ascii="Cambria Math" w:hAnsi="Cambria Math"/>
                          </w:rPr>
                          <m:t>^</m:t>
                        </m:r>
                      </m:lim>
                    </m:limUpp>
                  </m:e>
                  <m:sub>
                    <m:r>
                      <w:rPr>
                        <w:rFonts w:ascii="Cambria Math" w:hAnsi="Cambria Math"/>
                      </w:rPr>
                      <m:t>j</m:t>
                    </m:r>
                  </m:sub>
                </m:sSub>
                <m:r>
                  <w:rPr>
                    <w:rFonts w:ascii="Cambria Math" w:hAnsi="Cambria Math"/>
                  </w:rPr>
                  <m:t>,</m:t>
                </m:r>
                <m:sSub>
                  <m:sSubPr>
                    <m:ctrlPr>
                      <w:rPr>
                        <w:rFonts w:ascii="Cambria Math" w:hAnsi="Cambria Math"/>
                      </w:rPr>
                    </m:ctrlPr>
                  </m:sSubPr>
                  <m:e>
                    <m:limUpp>
                      <m:limUppPr>
                        <m:ctrlPr>
                          <w:rPr>
                            <w:rFonts w:ascii="Cambria Math" w:hAnsi="Cambria Math"/>
                          </w:rPr>
                        </m:ctrlPr>
                      </m:limUppPr>
                      <m:e>
                        <m:r>
                          <w:rPr>
                            <w:rFonts w:ascii="Cambria Math" w:hAnsi="Cambria Math"/>
                          </w:rPr>
                          <m:t>Φ</m:t>
                        </m:r>
                      </m:e>
                      <m:lim>
                        <m:r>
                          <w:rPr>
                            <w:rFonts w:ascii="Cambria Math" w:hAnsi="Cambria Math"/>
                          </w:rPr>
                          <m:t>^</m:t>
                        </m:r>
                      </m:lim>
                    </m:limUpp>
                  </m:e>
                  <m:sub>
                    <m:r>
                      <w:rPr>
                        <w:rFonts w:ascii="Cambria Math" w:hAnsi="Cambria Math"/>
                      </w:rPr>
                      <m:t>x</m:t>
                    </m:r>
                  </m:sub>
                </m:sSub>
                <m:r>
                  <w:rPr>
                    <w:rFonts w:ascii="Cambria Math" w:hAnsi="Cambria Math"/>
                  </w:rPr>
                  <m:t>=</m:t>
                </m:r>
                <m:sSub>
                  <m:sSubPr>
                    <m:ctrlPr>
                      <w:rPr>
                        <w:rFonts w:ascii="Cambria Math" w:hAnsi="Cambria Math"/>
                      </w:rPr>
                    </m:ctrlPr>
                  </m:sSubPr>
                  <m:e>
                    <m:r>
                      <w:rPr>
                        <w:rFonts w:ascii="Cambria Math" w:hAnsi="Cambria Math"/>
                      </w:rPr>
                      <m:t>Σ</m:t>
                    </m:r>
                  </m:e>
                  <m:sub>
                    <m:r>
                      <w:rPr>
                        <w:rFonts w:ascii="Cambria Math" w:hAnsi="Cambria Math"/>
                      </w:rPr>
                      <m:t>j</m:t>
                    </m:r>
                  </m:sub>
                </m:sSub>
                <m:sSub>
                  <m:sSubPr>
                    <m:ctrlPr>
                      <w:rPr>
                        <w:rFonts w:ascii="Cambria Math" w:hAnsi="Cambria Math"/>
                      </w:rPr>
                    </m:ctrlPr>
                  </m:sSubPr>
                  <m:e>
                    <m:limUpp>
                      <m:limUppPr>
                        <m:ctrlPr>
                          <w:rPr>
                            <w:rFonts w:ascii="Cambria Math" w:hAnsi="Cambria Math"/>
                          </w:rPr>
                        </m:ctrlPr>
                      </m:limUppPr>
                      <m:e>
                        <m:r>
                          <w:rPr>
                            <w:rFonts w:ascii="Cambria Math" w:hAnsi="Cambria Math"/>
                          </w:rPr>
                          <m:t>a</m:t>
                        </m:r>
                      </m:e>
                      <m:lim>
                        <m:r>
                          <w:rPr>
                            <w:rFonts w:ascii="Cambria Math" w:hAnsi="Cambria Math"/>
                          </w:rPr>
                          <m:t>^</m:t>
                        </m:r>
                      </m:lim>
                    </m:limUpp>
                  </m:e>
                  <m:sub>
                    <m:r>
                      <w:rPr>
                        <w:rFonts w:ascii="Cambria Math" w:hAnsi="Cambria Math"/>
                      </w:rPr>
                      <m:t>j</m:t>
                    </m:r>
                  </m:sub>
                </m:sSub>
                <m:r>
                  <w:rPr>
                    <w:rFonts w:ascii="Cambria Math" w:hAnsi="Cambria Math"/>
                  </w:rPr>
                  <m:t>Δu</m:t>
                </m:r>
              </m:oMath>
            </m:oMathPara>
          </w:p>
        </w:tc>
        <w:tc>
          <w:tcPr>
            <w:tcW w:w="900" w:type="dxa"/>
            <w:tcMar>
              <w:top w:w="80" w:type="dxa"/>
              <w:left w:w="100" w:type="dxa"/>
              <w:bottom w:w="80" w:type="dxa"/>
              <w:right w:w="100" w:type="dxa"/>
            </w:tcMar>
            <w:vAlign w:val="center"/>
          </w:tcPr>
          <w:p w14:paraId="1B3FA233" w14:textId="77777777" w:rsidR="000B554E" w:rsidRDefault="00000000">
            <w:pPr>
              <w:jc w:val="right"/>
            </w:pPr>
            <w:r>
              <w:t>(18)</w:t>
            </w:r>
          </w:p>
        </w:tc>
      </w:tr>
    </w:tbl>
    <w:p>
      <w:pPr>
        <w:ind w:firstLine="420"/>
        <w:jc w:val="both"/>
        <w:rPr>
          <w:lang w:eastAsia="zh-CN"/>
        </w:rPr>
      </w:pPr>
      <w:r>
        <w:t>式（18）中，</w:t>
      </w:r>
      <w:r>
        <w:rPr>
          <w:rFonts w:ascii="Cambria Math" w:hAnsi="Cambria Math"/>
          <w:i/>
        </w:rPr>
        <w:t>L̂</w:t>
      </w:r>
      <w:r>
        <w:rPr>
          <w:rFonts w:ascii="Cambria Math" w:hAnsi="Cambria Math"/>
          <w:i/>
          <w:vertAlign w:val="subscript"/>
        </w:rPr>
        <w:t>x</w:t>
      </w:r>
      <w:r>
        <w:t>(</w:t>
      </w:r>
      <w:r>
        <w:rPr>
          <w:rFonts w:ascii="Cambria Math" w:hAnsi="Cambria Math"/>
          <w:i/>
        </w:rPr>
        <w:t>u</w:t>
      </w:r>
      <w:r>
        <w:rPr>
          <w:rFonts w:ascii="Cambria Math" w:hAnsi="Cambria Math"/>
          <w:i/>
          <w:vertAlign w:val="subscript"/>
        </w:rPr>
        <w:t>j</w:t>
      </w:r>
      <w:r>
        <w:t>)为位置</w:t>
      </w:r>
      <w:r>
        <w:rPr>
          <w:rFonts w:ascii="Cambria Math" w:hAnsi="Cambria Math"/>
          <w:i/>
        </w:rPr>
        <w:t>u</w:t>
      </w:r>
      <w:r>
        <w:rPr>
          <w:rFonts w:ascii="Cambria Math" w:hAnsi="Cambria Math"/>
          <w:i/>
          <w:vertAlign w:val="subscript"/>
        </w:rPr>
        <w:t>j</w:t>
      </w:r>
      <w:r>
        <w:t>处恢复的焦点方向强度，</w:t>
      </w:r>
      <w:r>
        <w:rPr>
          <w:rFonts w:ascii="Cambria Math" w:hAnsi="Cambria Math"/>
          <w:i/>
        </w:rPr>
        <w:t>â</w:t>
      </w:r>
      <w:r>
        <w:rPr>
          <w:rFonts w:ascii="Cambria Math" w:hAnsi="Cambria Math"/>
          <w:i/>
          <w:vertAlign w:val="subscript"/>
        </w:rPr>
        <w:t>j</w:t>
      </w:r>
      <w:r>
        <w:t>为估计向量</w:t>
      </w:r>
      <w:r>
        <w:rPr>
          <w:rFonts w:ascii="Cambria Math" w:hAnsi="Cambria Math"/>
          <w:i/>
        </w:rPr>
        <w:t>â</w:t>
      </w:r>
      <w:r>
        <w:t>的第</w:t>
      </w:r>
      <w:r>
        <w:rPr>
          <w:rFonts w:ascii="Cambria Math" w:hAnsi="Cambria Math"/>
          <w:i/>
        </w:rPr>
        <w:t>j</w:t>
      </w:r>
      <w:r>
        <w:t>个分量；</w:t>
      </w:r>
      <w:r>
        <w:rPr>
          <w:rFonts w:ascii="Cambria Math" w:hAnsi="Cambria Math"/>
          <w:i/>
        </w:rPr>
        <w:t>Φ̂</w:t>
      </w:r>
      <w:r>
        <w:rPr>
          <w:rFonts w:ascii="Cambria Math" w:hAnsi="Cambria Math"/>
          <w:i/>
          <w:vertAlign w:val="subscript"/>
        </w:rPr>
        <w:t>x</w:t>
      </w:r>
      <w:r>
        <w:t>为恢复强度沿</w:t>
      </w:r>
      <w:r>
        <w:rPr>
          <w:rFonts w:ascii="Cambria Math" w:hAnsi="Cambria Math"/>
          <w:i/>
        </w:rPr>
        <w:t>x</w:t>
      </w:r>
      <w:r>
        <w:t>方向的离散积分，用于表征该方向投影的总强度；</w:t>
      </w:r>
      <w:r>
        <w:rPr>
          <w:rFonts w:ascii="Cambria Math" w:hAnsi="Cambria Math"/>
          <w:i/>
        </w:rPr>
        <w:t>Σ</w:t>
      </w:r>
      <w:r>
        <w:rPr>
          <w:rFonts w:ascii="Cambria Math" w:hAnsi="Cambria Math"/>
          <w:i/>
          <w:vertAlign w:val="subscript"/>
        </w:rPr>
        <w:t>j</w:t>
      </w:r>
      <w:r>
        <w:t>表示对全部焦点离散位置求和。</w:t>
      </w:r>
    </w:p>
    <w:p w14:paraId="3613AAE3" w14:textId="489EE519" w:rsidR="000B554E" w:rsidRDefault="00000000">
      <w:pPr>
        <w:ind w:firstLine="420"/>
        <w:jc w:val="both"/>
        <w:rPr>
          <w:lang w:eastAsia="zh-CN"/>
        </w:rPr>
      </w:pPr>
      <w:r>
        <w:rPr>
          <w:lang w:eastAsia="zh-CN"/>
        </w:rPr>
        <w:t>在</w:t>
      </w:r>
      <w:r>
        <w:rPr>
          <w:lang w:eastAsia="zh-CN"/>
        </w:rPr>
        <w:t>C</w:t>
      </w:r>
      <w:r>
        <w:rPr>
          <w:lang w:eastAsia="zh-CN"/>
        </w:rPr>
        <w:t>经过独立标定且观测数据保持线性强度尺度时，恢复的</w:t>
      </w:r>
      <w:r>
        <w:rPr>
          <w:lang w:eastAsia="zh-CN"/>
        </w:rPr>
        <w:t>Lₓ</w:t>
      </w:r>
      <w:r>
        <w:rPr>
          <w:lang w:eastAsia="zh-CN"/>
        </w:rPr>
        <w:t>具有相应物理强度单位，其积分量</w:t>
      </w:r>
      <w:r>
        <w:t>Φ</w:t>
      </w:r>
      <w:r>
        <w:rPr>
          <w:lang w:eastAsia="zh-CN"/>
        </w:rPr>
        <w:t>ₓ</w:t>
      </w:r>
      <w:r>
        <w:rPr>
          <w:lang w:eastAsia="zh-CN"/>
        </w:rPr>
        <w:t>表征该方向投影的总强度。模型充分性应在原始强度尺度上通过正向拟合残差判断。近似随机的残差表明主要结构已被模型解释；与圆柱位置相关的系统性残差通常提示几何、衰减、背景或探测器响应模型存在偏差。</w:t>
      </w:r>
    </w:p>
    <w:p w14:paraId="2B8F972A" w14:textId="77777777" w:rsidR="006D0A1A" w:rsidRDefault="00000000">
      <w:pPr>
        <w:pStyle w:val="21"/>
        <w:rPr>
          <w:lang w:eastAsia="zh-CN"/>
        </w:rPr>
      </w:pPr>
      <w:r>
        <w:rPr>
          <w:lang w:eastAsia="zh-CN"/>
        </w:rPr>
        <w:t xml:space="preserve">2.5 </w:t>
      </w:r>
      <w:r>
        <w:rPr>
          <w:lang w:eastAsia="zh-CN"/>
        </w:rPr>
        <w:t>焦点尺寸与方向表征</w:t>
      </w:r>
    </w:p>
    <w:p w14:paraId="3EA6F1C9" w14:textId="77777777" w:rsidR="006D0A1A" w:rsidRDefault="00000000">
      <w:pPr>
        <w:ind w:firstLine="420"/>
        <w:jc w:val="both"/>
        <w:rPr>
          <w:lang w:eastAsia="zh-CN"/>
        </w:rPr>
      </w:pPr>
      <w:r>
        <w:rPr>
          <w:rFonts w:cs="Times New Roman"/>
          <w:lang w:eastAsia="zh-CN"/>
        </w:rPr>
        <w:t>计算焦点尺寸时，可将恢复的强度分布按主峰峰值进行辅助归一化。该归一化仅用于确定半高位置，不替代前述保留强度尺度的</w:t>
      </w:r>
      <w:r>
        <w:rPr>
          <w:rFonts w:cs="Times New Roman"/>
          <w:lang w:eastAsia="zh-CN"/>
        </w:rPr>
        <w:t>Lₓ</w:t>
      </w:r>
      <w:r>
        <w:rPr>
          <w:rFonts w:cs="Times New Roman"/>
          <w:lang w:eastAsia="zh-CN"/>
        </w:rPr>
        <w:t>及其积分量</w:t>
      </w:r>
      <w:r>
        <w:rPr>
          <w:rFonts w:cs="Times New Roman"/>
        </w:rPr>
        <w:t>Φ</w:t>
      </w:r>
      <w:r>
        <w:rPr>
          <w:rFonts w:cs="Times New Roman"/>
          <w:lang w:eastAsia="zh-CN"/>
        </w:rPr>
        <w:t>ₓ</w:t>
      </w:r>
      <w:r>
        <w:rPr>
          <w:rFonts w:cs="Times New Roman"/>
          <w:lang w:eastAsia="zh-CN"/>
        </w:rPr>
        <w:t>。在主峰左右两侧分别确定归一化幅值为</w:t>
      </w:r>
      <w:r>
        <w:rPr>
          <w:rFonts w:cs="Times New Roman"/>
          <w:lang w:eastAsia="zh-CN"/>
        </w:rPr>
        <w:t>0.5</w:t>
      </w:r>
      <w:r>
        <w:rPr>
          <w:rFonts w:cs="Times New Roman"/>
          <w:lang w:eastAsia="zh-CN"/>
        </w:rPr>
        <w:t>的位置，必要时在相邻采样点之间插值，则焦点半高全宽为：</w:t>
      </w:r>
    </w:p>
    <w:p>
      <w:r>
        <w:br w:type="page"/>
      </w:r>
    </w:p>
    <w:tbl>
      <w:tblPr>
        <w:tblW w:w="8900" w:type="dxa"/>
        <w:tblBorders>
          <w:top w:val="nil"/>
          <w:left w:val="nil"/>
          <w:bottom w:val="nil"/>
          <w:right w:val="nil"/>
          <w:insideH w:val="nil"/>
          <w:insideV w:val="nil"/>
        </w:tblBorders>
        <w:tblLayout w:type="fixed"/>
        <w:tblLook w:val="04A0" w:firstRow="1" w:lastRow="0" w:firstColumn="1" w:lastColumn="0" w:noHBand="0" w:noVBand="1"/>
      </w:tblPr>
      <w:tblGrid>
        <w:gridCol w:w="8000"/>
        <w:gridCol w:w="900"/>
      </w:tblGrid>
      <w:tr w:rsidR="006D0A1A" w14:paraId="522EED5C" w14:textId="77777777">
        <w:trPr>
          <w:cantSplit/>
        </w:trPr>
        <w:tc>
          <w:tcPr>
            <w:tcW w:w="8000" w:type="dxa"/>
            <w:tcMar>
              <w:top w:w="80" w:type="dxa"/>
              <w:left w:w="100" w:type="dxa"/>
              <w:bottom w:w="80" w:type="dxa"/>
              <w:right w:w="100" w:type="dxa"/>
            </w:tcMar>
            <w:vAlign w:val="center"/>
          </w:tcPr>
          <w:p w14:paraId="25968975" w14:textId="77777777" w:rsidR="006D0A1A" w:rsidRDefault="00000000">
            <w:pPr>
              <w:spacing w:before="40" w:after="40"/>
              <w:jc w:val="center"/>
            </w:pPr>
            <m:oMathPara>
              <m:oMath>
                <m:r>
                  <m:rPr>
                    <m:sty m:val="p"/>
                  </m:rPr>
                  <w:rPr>
                    <w:rFonts w:ascii="Cambria Math" w:hAnsi="Cambria Math"/>
                  </w:rPr>
                  <m:t>FWHM</m:t>
                </m:r>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R</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L</m:t>
                    </m:r>
                  </m:sub>
                </m:sSub>
              </m:oMath>
            </m:oMathPara>
          </w:p>
        </w:tc>
        <w:tc>
          <w:tcPr>
            <w:tcW w:w="900" w:type="dxa"/>
            <w:tcMar>
              <w:top w:w="80" w:type="dxa"/>
              <w:left w:w="100" w:type="dxa"/>
              <w:bottom w:w="80" w:type="dxa"/>
              <w:right w:w="100" w:type="dxa"/>
            </w:tcMar>
            <w:vAlign w:val="center"/>
          </w:tcPr>
          <w:p w14:paraId="1B241463" w14:textId="77777777" w:rsidR="006D0A1A" w:rsidRDefault="00000000">
            <w:pPr>
              <w:jc w:val="right"/>
            </w:pPr>
            <w:r>
              <w:t>(19)</w:t>
            </w:r>
          </w:p>
        </w:tc>
      </w:tr>
    </w:tbl>
    <w:p>
      <w:pPr>
        <w:ind w:firstLine="420"/>
        <w:jc w:val="both"/>
        <w:rPr>
          <w:lang w:eastAsia="zh-CN"/>
        </w:rPr>
      </w:pPr>
      <w:r>
        <w:t>式（19）中，FWHM为焦点方向强度分布的半高全宽；</w:t>
      </w:r>
      <w:r>
        <w:rPr>
          <w:rFonts w:ascii="Cambria Math" w:hAnsi="Cambria Math"/>
          <w:i/>
        </w:rPr>
        <w:t>u</w:t>
      </w:r>
      <w:r>
        <w:rPr>
          <w:rFonts w:ascii="Cambria Math" w:hAnsi="Cambria Math"/>
          <w:i/>
          <w:vertAlign w:val="subscript"/>
        </w:rPr>
        <w:t>L</w:t>
      </w:r>
      <w:r>
        <w:t>和</w:t>
      </w:r>
      <w:r>
        <w:rPr>
          <w:rFonts w:ascii="Cambria Math" w:hAnsi="Cambria Math"/>
          <w:i/>
        </w:rPr>
        <w:t>u</w:t>
      </w:r>
      <w:r>
        <w:rPr>
          <w:rFonts w:ascii="Cambria Math" w:hAnsi="Cambria Math"/>
          <w:i/>
          <w:vertAlign w:val="subscript"/>
        </w:rPr>
        <w:t>R</w:t>
      </w:r>
      <w:r>
        <w:t>分别为主峰左侧与右侧的半高位置，二者均定义在焦点参考平面。</w:t>
      </w:r>
    </w:p>
    <w:p w14:paraId="6D54C2A1" w14:textId="77777777" w:rsidR="006D0A1A" w:rsidRDefault="00000000">
      <w:pPr>
        <w:ind w:firstLine="420"/>
        <w:jc w:val="both"/>
        <w:rPr>
          <w:lang w:eastAsia="zh-CN"/>
        </w:rPr>
      </w:pPr>
      <w:r>
        <w:rPr>
          <w:rFonts w:cs="Times New Roman"/>
          <w:lang w:eastAsia="zh-CN"/>
        </w:rPr>
        <w:t>对于主峰内部谷值仍高于</w:t>
      </w:r>
      <w:r>
        <w:rPr>
          <w:rFonts w:cs="Times New Roman"/>
          <w:lang w:eastAsia="zh-CN"/>
        </w:rPr>
        <w:t>0.5</w:t>
      </w:r>
      <w:r>
        <w:rPr>
          <w:rFonts w:cs="Times New Roman"/>
          <w:lang w:eastAsia="zh-CN"/>
        </w:rPr>
        <w:t>的双峰分布，式（</w:t>
      </w:r>
      <w:r>
        <w:rPr>
          <w:rFonts w:cs="Times New Roman"/>
          <w:lang w:eastAsia="zh-CN"/>
        </w:rPr>
        <w:t>19</w:t>
      </w:r>
      <w:r>
        <w:rPr>
          <w:rFonts w:cs="Times New Roman"/>
          <w:lang w:eastAsia="zh-CN"/>
        </w:rPr>
        <w:t>）给出包络半高宽；若谷值低于</w:t>
      </w:r>
      <w:r>
        <w:rPr>
          <w:rFonts w:cs="Times New Roman"/>
          <w:lang w:eastAsia="zh-CN"/>
        </w:rPr>
        <w:t>0.5</w:t>
      </w:r>
      <w:r>
        <w:rPr>
          <w:rFonts w:cs="Times New Roman"/>
          <w:lang w:eastAsia="zh-CN"/>
        </w:rPr>
        <w:t>，应同时报告</w:t>
      </w:r>
      <w:proofErr w:type="gramStart"/>
      <w:r>
        <w:rPr>
          <w:rFonts w:cs="Times New Roman"/>
          <w:lang w:eastAsia="zh-CN"/>
        </w:rPr>
        <w:t>各峰半高</w:t>
      </w:r>
      <w:proofErr w:type="gramEnd"/>
      <w:r>
        <w:rPr>
          <w:rFonts w:cs="Times New Roman"/>
          <w:lang w:eastAsia="zh-CN"/>
        </w:rPr>
        <w:t>宽、峰间距和</w:t>
      </w:r>
      <w:r>
        <w:rPr>
          <w:rFonts w:cs="Times New Roman"/>
          <w:lang w:eastAsia="zh-CN"/>
        </w:rPr>
        <w:t>LSF</w:t>
      </w:r>
      <w:r>
        <w:rPr>
          <w:rFonts w:cs="Times New Roman"/>
          <w:lang w:eastAsia="zh-CN"/>
        </w:rPr>
        <w:t>曲线，避免单一</w:t>
      </w:r>
      <w:r>
        <w:rPr>
          <w:rFonts w:cs="Times New Roman"/>
          <w:lang w:eastAsia="zh-CN"/>
        </w:rPr>
        <w:t>FWHM</w:t>
      </w:r>
      <w:r>
        <w:rPr>
          <w:rFonts w:cs="Times New Roman"/>
          <w:lang w:eastAsia="zh-CN"/>
        </w:rPr>
        <w:t>掩盖焦点分裂。双圆柱轴线相对于目标方向的两种正交取向分别给出焦点长度与宽度方向的</w:t>
      </w:r>
      <w:r>
        <w:rPr>
          <w:rFonts w:cs="Times New Roman"/>
          <w:lang w:eastAsia="zh-CN"/>
        </w:rPr>
        <w:t>LSF</w:t>
      </w:r>
      <w:r>
        <w:rPr>
          <w:rFonts w:cs="Times New Roman"/>
          <w:lang w:eastAsia="zh-CN"/>
        </w:rPr>
        <w:t>。由于反演坐标定义在焦点参考平面，所得宽度无需再进行狭缝影像式的放大倍数换算。</w:t>
      </w:r>
    </w:p>
    <w:p w14:paraId="67BB7D04" w14:textId="77777777" w:rsidR="000B554E" w:rsidRDefault="00000000">
      <w:pPr>
        <w:pStyle w:val="21"/>
        <w:rPr>
          <w:lang w:eastAsia="zh-CN"/>
        </w:rPr>
      </w:pPr>
      <w:r>
        <w:rPr>
          <w:lang w:eastAsia="zh-CN"/>
        </w:rPr>
        <w:lastRenderedPageBreak/>
        <w:t xml:space="preserve">2.6 </w:t>
      </w:r>
      <w:r>
        <w:rPr>
          <w:lang w:eastAsia="zh-CN"/>
        </w:rPr>
        <w:t>模型适用条件与一般误差规律</w:t>
      </w:r>
    </w:p>
    <w:p w14:paraId="1EB7FD43" w14:textId="77777777" w:rsidR="000B554E" w:rsidRDefault="00000000">
      <w:pPr>
        <w:ind w:firstLine="420"/>
        <w:jc w:val="both"/>
        <w:rPr>
          <w:lang w:eastAsia="zh-CN"/>
        </w:rPr>
      </w:pPr>
      <w:r>
        <w:rPr>
          <w:rFonts w:cs="Times New Roman"/>
          <w:lang w:eastAsia="zh-CN"/>
        </w:rPr>
        <w:t>该方法成立的基本条件是：圆柱截面可由已知规则几何描述，材料在研究范围内近似均匀，双圆柱与焦点、探测器之间的相对几何关系可知，且观测强度与入射强度之间的响应关系可建模。研究区域</w:t>
      </w:r>
      <w:proofErr w:type="gramStart"/>
      <w:r>
        <w:rPr>
          <w:rFonts w:cs="Times New Roman"/>
          <w:lang w:eastAsia="zh-CN"/>
        </w:rPr>
        <w:t>须位于</w:t>
      </w:r>
      <w:proofErr w:type="gramEnd"/>
      <w:r>
        <w:rPr>
          <w:rFonts w:cs="Times New Roman"/>
          <w:lang w:eastAsia="zh-CN"/>
        </w:rPr>
        <w:t>圆柱轴向中部并避开端点，使圆柱长度不进入正向模型。若存在有限间隙、圆度偏差、能谱硬化、散射或探测器模糊，这些效应并不改变反演框架，但必须进入正向核或作为不确定度来源处理。</w:t>
      </w:r>
    </w:p>
    <w:p w14:paraId="137BC205" w14:textId="77777777" w:rsidR="000B554E" w:rsidRDefault="00000000">
      <w:pPr>
        <w:ind w:firstLine="420"/>
        <w:jc w:val="both"/>
        <w:rPr>
          <w:rFonts w:cs="Times New Roman"/>
          <w:lang w:eastAsia="zh-CN"/>
        </w:rPr>
      </w:pPr>
      <w:r>
        <w:rPr>
          <w:rFonts w:cs="Times New Roman"/>
          <w:lang w:eastAsia="zh-CN"/>
        </w:rPr>
        <w:t>误差传播遵循三类一般规律：几何尺度误差主要引起</w:t>
      </w:r>
      <w:r>
        <w:rPr>
          <w:rFonts w:cs="Times New Roman"/>
          <w:lang w:eastAsia="zh-CN"/>
        </w:rPr>
        <w:t>LSF</w:t>
      </w:r>
      <w:r>
        <w:rPr>
          <w:rFonts w:cs="Times New Roman"/>
          <w:lang w:eastAsia="zh-CN"/>
        </w:rPr>
        <w:t>坐标的比例偏差；圆柱半径、间隙和衰减模型误差会改变编码核形状，从而造成峰宽和旁瓣的系统偏差；噪声与病态性则主要影响解的波动，并受正则化强度控制。因此应同时考察几何参数敏感性、核模型敏感性和正则化敏感性。</w:t>
      </w:r>
    </w:p>
    <w:p w14:paraId="0DCEE2A8" w14:textId="77777777" w:rsidR="000B554E" w:rsidRPr="00144613" w:rsidRDefault="00000000">
      <w:pPr>
        <w:pStyle w:val="21"/>
        <w:rPr>
          <w:rFonts w:eastAsia="宋体"/>
          <w:lang w:eastAsia="zh-CN"/>
        </w:rPr>
      </w:pPr>
      <w:r>
        <w:rPr>
          <w:lang w:eastAsia="zh-CN"/>
        </w:rPr>
        <w:t xml:space="preserve">2.7 </w:t>
      </w:r>
      <w:r>
        <w:rPr>
          <w:lang w:eastAsia="zh-CN"/>
        </w:rPr>
        <w:t>与狭缝法的一致性验证原则</w:t>
      </w:r>
    </w:p>
    <w:p w14:paraId="54D9FA48" w14:textId="77777777" w:rsidR="000B554E" w:rsidRDefault="00000000">
      <w:pPr>
        <w:ind w:firstLine="420"/>
        <w:jc w:val="both"/>
        <w:rPr>
          <w:lang w:eastAsia="zh-CN"/>
        </w:rPr>
      </w:pPr>
      <w:r>
        <w:rPr>
          <w:rFonts w:cs="Times New Roman"/>
          <w:lang w:eastAsia="zh-CN"/>
        </w:rPr>
        <w:t>双圆柱法的替代性验证应遵循可比性原则</w:t>
      </w:r>
      <w:r w:rsidR="00144613">
        <w:rPr>
          <w:rFonts w:cs="Times New Roman" w:hint="eastAsia"/>
          <w:lang w:eastAsia="zh-CN"/>
        </w:rPr>
        <w:t>，即</w:t>
      </w:r>
      <w:r>
        <w:rPr>
          <w:rFonts w:cs="Times New Roman"/>
          <w:lang w:eastAsia="zh-CN"/>
        </w:rPr>
        <w:t>两种方法针对同一焦点状态、同一观察方向和等效几何条件进行配对比较，并将结果统一到同一焦点参考平面。验证</w:t>
      </w:r>
      <w:r w:rsidR="00144613">
        <w:rPr>
          <w:rFonts w:cs="Times New Roman" w:hint="eastAsia"/>
          <w:lang w:eastAsia="zh-CN"/>
        </w:rPr>
        <w:t>同时</w:t>
      </w:r>
      <w:r>
        <w:rPr>
          <w:rFonts w:cs="Times New Roman"/>
          <w:lang w:eastAsia="zh-CN"/>
        </w:rPr>
        <w:t>比较特征宽度，</w:t>
      </w:r>
      <w:r w:rsidR="00144613">
        <w:rPr>
          <w:rFonts w:cs="Times New Roman" w:hint="eastAsia"/>
          <w:lang w:eastAsia="zh-CN"/>
        </w:rPr>
        <w:t>和</w:t>
      </w:r>
      <w:r>
        <w:rPr>
          <w:rFonts w:cs="Times New Roman"/>
          <w:lang w:eastAsia="zh-CN"/>
        </w:rPr>
        <w:t>LSF</w:t>
      </w:r>
      <w:r>
        <w:rPr>
          <w:rFonts w:cs="Times New Roman"/>
          <w:lang w:eastAsia="zh-CN"/>
        </w:rPr>
        <w:t>形状、方向依赖性、方法内重复性。</w:t>
      </w:r>
    </w:p>
    <w:p w14:paraId="49637F49" w14:textId="77777777" w:rsidR="000B554E" w:rsidRDefault="00000000">
      <w:pPr>
        <w:ind w:firstLine="420"/>
        <w:jc w:val="both"/>
        <w:rPr>
          <w:lang w:eastAsia="zh-CN"/>
        </w:rPr>
      </w:pPr>
      <w:r>
        <w:rPr>
          <w:rFonts w:cs="Times New Roman"/>
          <w:lang w:eastAsia="zh-CN"/>
        </w:rPr>
        <w:t>对每个方向分别比较两种方法的</w:t>
      </w:r>
      <w:r>
        <w:rPr>
          <w:rFonts w:cs="Times New Roman"/>
          <w:lang w:eastAsia="zh-CN"/>
        </w:rPr>
        <w:t>FWHM</w:t>
      </w:r>
      <w:r>
        <w:rPr>
          <w:rFonts w:cs="Times New Roman"/>
          <w:lang w:eastAsia="zh-CN"/>
        </w:rPr>
        <w:t>，计算均值、标准差、变异系数和相对差：</w:t>
      </w:r>
    </w:p>
    <w:tbl>
      <w:tblPr>
        <w:tblW w:w="8900" w:type="dxa"/>
        <w:tblBorders>
          <w:top w:val="nil"/>
          <w:left w:val="nil"/>
          <w:bottom w:val="nil"/>
          <w:right w:val="nil"/>
          <w:insideH w:val="nil"/>
          <w:insideV w:val="nil"/>
        </w:tblBorders>
        <w:tblLayout w:type="fixed"/>
        <w:tblLook w:val="04A0" w:firstRow="1" w:lastRow="0" w:firstColumn="1" w:lastColumn="0" w:noHBand="0" w:noVBand="1"/>
      </w:tblPr>
      <w:tblGrid>
        <w:gridCol w:w="8000"/>
        <w:gridCol w:w="900"/>
      </w:tblGrid>
      <w:tr w:rsidR="000B554E" w14:paraId="47719AB9" w14:textId="77777777">
        <w:trPr>
          <w:cantSplit/>
        </w:trPr>
        <w:tc>
          <w:tcPr>
            <w:tcW w:w="8000" w:type="dxa"/>
            <w:tcMar>
              <w:top w:w="80" w:type="dxa"/>
              <w:left w:w="100" w:type="dxa"/>
              <w:bottom w:w="80" w:type="dxa"/>
              <w:right w:w="100" w:type="dxa"/>
            </w:tcMar>
            <w:vAlign w:val="center"/>
          </w:tcPr>
          <w:p w14:paraId="0916F947" w14:textId="77777777" w:rsidR="000B554E" w:rsidRDefault="00000000">
            <w:pPr>
              <w:spacing w:before="40" w:after="40"/>
              <w:jc w:val="center"/>
            </w:pPr>
            <m:oMathPara>
              <m:oMath>
                <m:r>
                  <w:rPr>
                    <w:rFonts w:ascii="Cambria Math" w:hAnsi="Cambria Math"/>
                  </w:rPr>
                  <m:t>δ=</m:t>
                </m:r>
                <m:f>
                  <m:fPr>
                    <m:ctrlPr>
                      <w:rPr>
                        <w:rFonts w:ascii="Cambria Math" w:hAnsi="Cambria Math"/>
                      </w:rPr>
                    </m:ctrlPr>
                  </m:fPr>
                  <m:num>
                    <m:sSub>
                      <m:sSubPr>
                        <m:ctrlPr>
                          <w:rPr>
                            <w:rFonts w:ascii="Cambria Math" w:hAnsi="Cambria Math"/>
                          </w:rPr>
                        </m:ctrlPr>
                      </m:sSubPr>
                      <m:e>
                        <m:r>
                          <m:rPr>
                            <m:sty m:val="p"/>
                          </m:rPr>
                          <w:rPr>
                            <w:rFonts w:ascii="Cambria Math" w:hAnsi="Cambria Math"/>
                          </w:rPr>
                          <m:t>FWHM</m:t>
                        </m:r>
                      </m:e>
                      <m:sub>
                        <m:r>
                          <m:rPr>
                            <m:sty m:val="p"/>
                          </m:rPr>
                          <w:rPr>
                            <w:rFonts w:ascii="Cambria Math" w:hAnsi="Cambria Math"/>
                          </w:rPr>
                          <m:t>DC</m:t>
                        </m:r>
                      </m:sub>
                    </m:sSub>
                    <m:r>
                      <w:rPr>
                        <w:rFonts w:ascii="Cambria Math" w:hAnsi="Cambria Math"/>
                      </w:rPr>
                      <m:t>-</m:t>
                    </m:r>
                    <m:sSub>
                      <m:sSubPr>
                        <m:ctrlPr>
                          <w:rPr>
                            <w:rFonts w:ascii="Cambria Math" w:hAnsi="Cambria Math"/>
                          </w:rPr>
                        </m:ctrlPr>
                      </m:sSubPr>
                      <m:e>
                        <m:r>
                          <m:rPr>
                            <m:sty m:val="p"/>
                          </m:rPr>
                          <w:rPr>
                            <w:rFonts w:ascii="Cambria Math" w:hAnsi="Cambria Math"/>
                          </w:rPr>
                          <m:t>FWHM</m:t>
                        </m:r>
                      </m:e>
                      <m:sub>
                        <m:r>
                          <m:rPr>
                            <m:sty m:val="p"/>
                          </m:rPr>
                          <w:rPr>
                            <w:rFonts w:ascii="Cambria Math" w:hAnsi="Cambria Math"/>
                          </w:rPr>
                          <m:t>slit</m:t>
                        </m:r>
                      </m:sub>
                    </m:sSub>
                  </m:num>
                  <m:den>
                    <m:sSub>
                      <m:sSubPr>
                        <m:ctrlPr>
                          <w:rPr>
                            <w:rFonts w:ascii="Cambria Math" w:hAnsi="Cambria Math"/>
                          </w:rPr>
                        </m:ctrlPr>
                      </m:sSubPr>
                      <m:e>
                        <m:r>
                          <m:rPr>
                            <m:sty m:val="p"/>
                          </m:rPr>
                          <w:rPr>
                            <w:rFonts w:ascii="Cambria Math" w:hAnsi="Cambria Math"/>
                          </w:rPr>
                          <m:t>FWHM</m:t>
                        </m:r>
                      </m:e>
                      <m:sub>
                        <m:r>
                          <m:rPr>
                            <m:sty m:val="p"/>
                          </m:rPr>
                          <w:rPr>
                            <w:rFonts w:ascii="Cambria Math" w:hAnsi="Cambria Math"/>
                          </w:rPr>
                          <m:t>slit</m:t>
                        </m:r>
                      </m:sub>
                    </m:sSub>
                  </m:den>
                </m:f>
                <m:r>
                  <w:rPr>
                    <w:rFonts w:ascii="Cambria Math" w:hAnsi="Cambria Math"/>
                  </w:rPr>
                  <m:t>×100%</m:t>
                </m:r>
              </m:oMath>
            </m:oMathPara>
          </w:p>
        </w:tc>
        <w:tc>
          <w:tcPr>
            <w:tcW w:w="900" w:type="dxa"/>
            <w:tcMar>
              <w:top w:w="80" w:type="dxa"/>
              <w:left w:w="100" w:type="dxa"/>
              <w:bottom w:w="80" w:type="dxa"/>
              <w:right w:w="100" w:type="dxa"/>
            </w:tcMar>
            <w:vAlign w:val="center"/>
          </w:tcPr>
          <w:p w14:paraId="5165BF88" w14:textId="77777777" w:rsidR="000B554E" w:rsidRDefault="00000000">
            <w:pPr>
              <w:jc w:val="right"/>
            </w:pPr>
            <w:r>
              <w:t>(20)</w:t>
            </w:r>
          </w:p>
        </w:tc>
      </w:tr>
    </w:tbl>
    <w:p>
      <w:pPr>
        <w:ind w:firstLine="420"/>
        <w:jc w:val="both"/>
        <w:rPr>
          <w:rFonts w:cs="Times New Roman"/>
          <w:lang w:eastAsia="zh-CN"/>
        </w:rPr>
      </w:pPr>
      <w:r>
        <w:t>式（20）中，</w:t>
      </w:r>
      <w:r>
        <w:rPr>
          <w:rFonts w:ascii="Cambria Math" w:hAnsi="Cambria Math"/>
          <w:i/>
        </w:rPr>
        <w:t>δ</w:t>
      </w:r>
      <w:r>
        <w:t>为双圆柱法相对于狭缝法的FWHM相对差；</w:t>
      </w:r>
      <w:r>
        <w:rPr>
          <w:rFonts w:ascii="Cambria Math" w:hAnsi="Cambria Math"/>
          <w:i w:val="0"/>
        </w:rPr>
        <w:t>FWHM</w:t>
      </w:r>
      <w:r>
        <w:rPr>
          <w:rFonts w:ascii="Cambria Math" w:hAnsi="Cambria Math"/>
          <w:i w:val="0"/>
          <w:vertAlign w:val="subscript"/>
        </w:rPr>
        <w:t>DC</w:t>
      </w:r>
      <w:r>
        <w:t>和</w:t>
      </w:r>
      <w:r>
        <w:rPr>
          <w:rFonts w:ascii="Cambria Math" w:hAnsi="Cambria Math"/>
          <w:i w:val="0"/>
        </w:rPr>
        <w:t>FWHM</w:t>
      </w:r>
      <w:r>
        <w:rPr>
          <w:rFonts w:ascii="Cambria Math" w:hAnsi="Cambria Math"/>
          <w:i w:val="0"/>
          <w:vertAlign w:val="subscript"/>
        </w:rPr>
        <w:t>slit</w:t>
      </w:r>
      <w:r>
        <w:t>分别为双圆柱法与狭缝法在同一焦点状态、同一观察方向下测得的半高全宽。</w:t>
      </w:r>
    </w:p>
    <w:p w14:paraId="6C498EA2" w14:textId="77777777" w:rsidR="000B554E" w:rsidRDefault="00000000">
      <w:pPr>
        <w:ind w:firstLine="420"/>
        <w:jc w:val="both"/>
        <w:rPr>
          <w:rFonts w:cs="Times New Roman"/>
          <w:lang w:eastAsia="zh-CN"/>
        </w:rPr>
      </w:pPr>
      <w:r>
        <w:t>相关性只能说明两者随焦点变化的共同趋势，不能证明量值一致；因此还应评价平均偏倚及一致性界限。在具有已知真值的理论分布下，应检验反演对单峰、非对称和多峰LSF的恢复能力，并通过参数扰动考察结果的稳健性。只有当系统偏倚、随机差异和形态恢复误差均处于预定容许范围内，才能认为双圆柱法在相应适用范围内可替代狭缝法。</w:t>
      </w:r>
    </w:p>
    <w:p w14:paraId="5CF1DE7A" w14:textId="77777777" w:rsidR="00144613" w:rsidRPr="00144613" w:rsidRDefault="00144613" w:rsidP="00144613">
      <w:pPr>
        <w:pStyle w:val="1"/>
        <w:rPr>
          <w:rFonts w:eastAsia="宋体"/>
          <w:lang w:eastAsia="zh-CN"/>
        </w:rPr>
      </w:pPr>
      <w:r>
        <w:rPr>
          <w:rFonts w:eastAsia="宋体" w:hint="eastAsia"/>
          <w:lang w:eastAsia="zh-CN"/>
        </w:rPr>
        <w:t>3</w:t>
      </w:r>
      <w:r>
        <w:rPr>
          <w:lang w:eastAsia="zh-CN"/>
        </w:rPr>
        <w:t xml:space="preserve"> </w:t>
      </w:r>
      <w:r>
        <w:rPr>
          <w:rFonts w:ascii="微软雅黑" w:eastAsia="微软雅黑" w:hAnsi="微软雅黑" w:cs="微软雅黑" w:hint="eastAsia"/>
          <w:lang w:eastAsia="zh-CN"/>
        </w:rPr>
        <w:t>实验设计</w:t>
      </w:r>
    </w:p>
    <w:p w14:paraId="45F0D173" w14:textId="77777777" w:rsidR="00144613" w:rsidRDefault="00144613" w:rsidP="00144613">
      <w:pPr>
        <w:pStyle w:val="21"/>
        <w:rPr>
          <w:lang w:eastAsia="zh-CN"/>
        </w:rPr>
      </w:pPr>
      <w:r>
        <w:rPr>
          <w:rFonts w:eastAsia="宋体" w:hint="eastAsia"/>
          <w:lang w:eastAsia="zh-CN"/>
        </w:rPr>
        <w:t>3.1</w:t>
      </w:r>
      <w:r>
        <w:rPr>
          <w:lang w:eastAsia="zh-CN"/>
        </w:rPr>
        <w:t xml:space="preserve"> </w:t>
      </w:r>
      <w:r>
        <w:rPr>
          <w:rFonts w:ascii="宋体" w:eastAsia="宋体" w:hAnsi="宋体" w:hint="eastAsia"/>
          <w:lang w:eastAsia="zh-CN"/>
        </w:rPr>
        <w:t>仿真</w:t>
      </w:r>
      <w:r>
        <w:rPr>
          <w:rFonts w:ascii="微软雅黑" w:eastAsia="微软雅黑" w:hAnsi="微软雅黑" w:cs="微软雅黑" w:hint="eastAsia"/>
          <w:lang w:eastAsia="zh-CN"/>
        </w:rPr>
        <w:t>实验设计</w:t>
      </w:r>
    </w:p>
    <w:p w14:paraId="42A00E88" w14:textId="77777777" w:rsidR="00144613" w:rsidRPr="00144613" w:rsidRDefault="00144613" w:rsidP="00144613">
      <w:pPr>
        <w:pStyle w:val="21"/>
        <w:rPr>
          <w:rFonts w:eastAsia="宋体"/>
          <w:lang w:eastAsia="zh-CN"/>
        </w:rPr>
      </w:pPr>
      <w:r>
        <w:rPr>
          <w:rFonts w:eastAsia="宋体" w:hint="eastAsia"/>
          <w:lang w:eastAsia="zh-CN"/>
        </w:rPr>
        <w:t>3</w:t>
      </w:r>
      <w:r>
        <w:rPr>
          <w:lang w:eastAsia="zh-CN"/>
        </w:rPr>
        <w:t>.</w:t>
      </w:r>
      <w:r>
        <w:rPr>
          <w:rFonts w:eastAsia="宋体" w:hint="eastAsia"/>
          <w:lang w:eastAsia="zh-CN"/>
        </w:rPr>
        <w:t>2</w:t>
      </w:r>
      <w:r>
        <w:rPr>
          <w:lang w:eastAsia="zh-CN"/>
        </w:rPr>
        <w:t xml:space="preserve"> </w:t>
      </w:r>
      <w:r>
        <w:rPr>
          <w:rFonts w:ascii="宋体" w:eastAsia="宋体" w:hAnsi="宋体" w:hint="eastAsia"/>
          <w:lang w:eastAsia="zh-CN"/>
        </w:rPr>
        <w:t>物理</w:t>
      </w:r>
      <w:r>
        <w:rPr>
          <w:rFonts w:ascii="微软雅黑" w:eastAsia="微软雅黑" w:hAnsi="微软雅黑" w:cs="微软雅黑" w:hint="eastAsia"/>
          <w:lang w:eastAsia="zh-CN"/>
        </w:rPr>
        <w:t>实验设计</w:t>
      </w:r>
    </w:p>
    <w:p w14:paraId="115A4483" w14:textId="77777777" w:rsidR="00144613" w:rsidRDefault="00144613" w:rsidP="00144613">
      <w:pPr>
        <w:pStyle w:val="1"/>
        <w:rPr>
          <w:rFonts w:ascii="微软雅黑" w:eastAsia="微软雅黑" w:hAnsi="微软雅黑" w:cs="微软雅黑"/>
          <w:lang w:eastAsia="zh-CN"/>
        </w:rPr>
      </w:pPr>
      <w:r>
        <w:rPr>
          <w:rFonts w:eastAsia="宋体" w:hint="eastAsia"/>
          <w:lang w:eastAsia="zh-CN"/>
        </w:rPr>
        <w:t>4</w:t>
      </w:r>
      <w:r>
        <w:rPr>
          <w:rFonts w:ascii="微软雅黑" w:eastAsia="微软雅黑" w:hAnsi="微软雅黑" w:cs="微软雅黑" w:hint="eastAsia"/>
          <w:lang w:eastAsia="zh-CN"/>
        </w:rPr>
        <w:t>结果</w:t>
      </w:r>
    </w:p>
    <w:p w14:paraId="4F03058B" w14:textId="77777777" w:rsidR="00144613" w:rsidRDefault="00144613" w:rsidP="00144613">
      <w:pPr>
        <w:pStyle w:val="1"/>
        <w:rPr>
          <w:rFonts w:ascii="微软雅黑" w:eastAsia="微软雅黑" w:hAnsi="微软雅黑" w:cs="微软雅黑"/>
          <w:lang w:eastAsia="zh-CN"/>
        </w:rPr>
      </w:pPr>
      <w:r>
        <w:rPr>
          <w:rFonts w:eastAsia="宋体" w:hint="eastAsia"/>
          <w:lang w:eastAsia="zh-CN"/>
        </w:rPr>
        <w:t>5</w:t>
      </w:r>
      <w:r>
        <w:rPr>
          <w:rFonts w:ascii="微软雅黑" w:eastAsia="微软雅黑" w:hAnsi="微软雅黑" w:cs="微软雅黑" w:hint="eastAsia"/>
          <w:lang w:eastAsia="zh-CN"/>
        </w:rPr>
        <w:t>结论</w:t>
      </w:r>
    </w:p>
    <w:p w14:paraId="41F888ED" w14:textId="77777777" w:rsidR="00144613" w:rsidRPr="00144613" w:rsidRDefault="00144613" w:rsidP="00144613">
      <w:pPr>
        <w:rPr>
          <w:lang w:eastAsia="zh-CN"/>
        </w:rPr>
      </w:pPr>
    </w:p>
    <w:p w14:paraId="76A9C75B" w14:textId="77777777" w:rsidR="00144613" w:rsidRDefault="00144613" w:rsidP="00144613">
      <w:pPr>
        <w:jc w:val="both"/>
        <w:rPr>
          <w:lang w:eastAsia="zh-CN"/>
        </w:rPr>
      </w:pPr>
    </w:p>
    <w:p w14:paraId="6A51F766" w14:textId="77777777" w:rsidR="000B554E" w:rsidRDefault="00000000">
      <w:pPr>
        <w:pStyle w:val="1"/>
        <w:rPr>
          <w:lang w:eastAsia="zh-CN"/>
        </w:rPr>
      </w:pPr>
      <w:r>
        <w:rPr>
          <w:rFonts w:ascii="Arial" w:eastAsia="黑体" w:hAnsi="Arial" w:cs="Arial"/>
          <w:lang w:eastAsia="zh-CN"/>
        </w:rPr>
        <w:lastRenderedPageBreak/>
        <w:t>参考文献</w:t>
      </w:r>
    </w:p>
    <w:p w14:paraId="658D024F" w14:textId="77777777" w:rsidR="000B554E" w:rsidRDefault="00000000">
      <w:pPr>
        <w:spacing w:line="264" w:lineRule="auto"/>
        <w:ind w:left="420" w:hanging="420"/>
        <w:jc w:val="both"/>
      </w:pPr>
      <w:r>
        <w:rPr>
          <w:rFonts w:cs="Times New Roman"/>
          <w:sz w:val="19"/>
          <w:lang w:eastAsia="zh-CN"/>
        </w:rPr>
        <w:t xml:space="preserve">[1] IEC. </w:t>
      </w:r>
      <w:r>
        <w:rPr>
          <w:rFonts w:cs="Times New Roman"/>
          <w:sz w:val="19"/>
        </w:rPr>
        <w:t>IEC 60336:2020 Medical electrical equipment—X-ray tube assemblies for medical diagnosis—Characteristics of focal spots[S]. Geneva: International Electrotechnical Commission, 2020.</w:t>
      </w:r>
    </w:p>
    <w:p w14:paraId="6D9E6D02" w14:textId="77777777" w:rsidR="000B554E" w:rsidRDefault="00000000">
      <w:pPr>
        <w:spacing w:line="264" w:lineRule="auto"/>
        <w:ind w:left="420" w:hanging="420"/>
        <w:jc w:val="both"/>
      </w:pPr>
      <w:r>
        <w:rPr>
          <w:rFonts w:cs="Times New Roman"/>
          <w:sz w:val="19"/>
        </w:rPr>
        <w:t xml:space="preserve">[2] </w:t>
      </w:r>
      <w:r>
        <w:rPr>
          <w:rFonts w:cs="Times New Roman"/>
          <w:sz w:val="19"/>
        </w:rPr>
        <w:t>韩放达</w:t>
      </w:r>
      <w:r>
        <w:rPr>
          <w:rFonts w:cs="Times New Roman"/>
          <w:sz w:val="19"/>
        </w:rPr>
        <w:t xml:space="preserve">, </w:t>
      </w:r>
      <w:r>
        <w:rPr>
          <w:rFonts w:cs="Times New Roman"/>
          <w:sz w:val="19"/>
        </w:rPr>
        <w:t>肖永顺</w:t>
      </w:r>
      <w:r>
        <w:rPr>
          <w:rFonts w:cs="Times New Roman"/>
          <w:sz w:val="19"/>
        </w:rPr>
        <w:t xml:space="preserve">, </w:t>
      </w:r>
      <w:r>
        <w:rPr>
          <w:rFonts w:cs="Times New Roman"/>
          <w:sz w:val="19"/>
        </w:rPr>
        <w:t>常铭</w:t>
      </w:r>
      <w:r>
        <w:rPr>
          <w:rFonts w:cs="Times New Roman"/>
          <w:sz w:val="19"/>
        </w:rPr>
        <w:t xml:space="preserve">, </w:t>
      </w:r>
      <w:r>
        <w:rPr>
          <w:rFonts w:cs="Times New Roman"/>
          <w:sz w:val="19"/>
        </w:rPr>
        <w:t>等</w:t>
      </w:r>
      <w:r>
        <w:rPr>
          <w:rFonts w:cs="Times New Roman"/>
          <w:sz w:val="19"/>
        </w:rPr>
        <w:t>. X</w:t>
      </w:r>
      <w:r>
        <w:rPr>
          <w:rFonts w:cs="Times New Roman"/>
          <w:sz w:val="19"/>
        </w:rPr>
        <w:t>射线源焦点尺寸测量方法和标准综述</w:t>
      </w:r>
      <w:r>
        <w:rPr>
          <w:rFonts w:cs="Times New Roman"/>
          <w:sz w:val="19"/>
        </w:rPr>
        <w:t xml:space="preserve">[J]. </w:t>
      </w:r>
      <w:r>
        <w:rPr>
          <w:rFonts w:cs="Times New Roman"/>
          <w:sz w:val="19"/>
        </w:rPr>
        <w:t>中国体视学与图像分析</w:t>
      </w:r>
      <w:r>
        <w:rPr>
          <w:rFonts w:cs="Times New Roman"/>
          <w:sz w:val="19"/>
        </w:rPr>
        <w:t>, 2014, 19(4): 321-329. DOI: 10.13505/j.1007-1482.2014.19.04.001.</w:t>
      </w:r>
    </w:p>
    <w:p w14:paraId="71C8DD89" w14:textId="77777777" w:rsidR="000B554E" w:rsidRDefault="00000000">
      <w:pPr>
        <w:spacing w:line="264" w:lineRule="auto"/>
        <w:ind w:left="420" w:hanging="420"/>
        <w:jc w:val="both"/>
      </w:pPr>
      <w:r>
        <w:rPr>
          <w:rFonts w:cs="Times New Roman"/>
          <w:sz w:val="19"/>
        </w:rPr>
        <w:t>[3] EVERSON J D, GRAY J E. Focal-spot measurement: comparison of slit, pinhole, and star resolution pattern techniques[J]. Radiology, 1987, 165(1): 261-264.</w:t>
      </w:r>
    </w:p>
    <w:p w14:paraId="41E7BBB1" w14:textId="77777777" w:rsidR="000B554E" w:rsidRDefault="00000000">
      <w:pPr>
        <w:spacing w:line="264" w:lineRule="auto"/>
        <w:ind w:left="420" w:hanging="420"/>
        <w:jc w:val="both"/>
        <w:rPr>
          <w:lang w:eastAsia="zh-CN"/>
        </w:rPr>
      </w:pPr>
      <w:r>
        <w:rPr>
          <w:rFonts w:cs="Times New Roman"/>
          <w:sz w:val="19"/>
        </w:rPr>
        <w:t xml:space="preserve">[4] RONG X J, KRUGH K T, SHEPARD S J, et al. Measurement of focal spot size with slit camera using computed radiography and flat-panel based digital detectors[J]. </w:t>
      </w:r>
      <w:r>
        <w:rPr>
          <w:rFonts w:cs="Times New Roman"/>
          <w:sz w:val="19"/>
          <w:lang w:eastAsia="zh-CN"/>
        </w:rPr>
        <w:t>Medical Physics, 2003, 30(7): 1768-1775. DOI: 10.1118/1.1579583.</w:t>
      </w:r>
    </w:p>
    <w:p w14:paraId="721856EE" w14:textId="77777777" w:rsidR="000B554E" w:rsidRDefault="00000000">
      <w:pPr>
        <w:spacing w:line="264" w:lineRule="auto"/>
        <w:ind w:left="420" w:hanging="420"/>
        <w:jc w:val="both"/>
        <w:rPr>
          <w:lang w:eastAsia="zh-CN"/>
        </w:rPr>
      </w:pPr>
      <w:r>
        <w:rPr>
          <w:rFonts w:cs="Times New Roman"/>
          <w:sz w:val="19"/>
          <w:lang w:eastAsia="zh-CN"/>
        </w:rPr>
        <w:t xml:space="preserve">[5] </w:t>
      </w:r>
      <w:r>
        <w:rPr>
          <w:rFonts w:cs="Times New Roman"/>
          <w:sz w:val="19"/>
          <w:lang w:eastAsia="zh-CN"/>
        </w:rPr>
        <w:t>李明豫</w:t>
      </w:r>
      <w:r>
        <w:rPr>
          <w:rFonts w:cs="Times New Roman"/>
          <w:sz w:val="19"/>
          <w:lang w:eastAsia="zh-CN"/>
        </w:rPr>
        <w:t xml:space="preserve">, </w:t>
      </w:r>
      <w:r>
        <w:rPr>
          <w:rFonts w:cs="Times New Roman"/>
          <w:sz w:val="19"/>
          <w:lang w:eastAsia="zh-CN"/>
        </w:rPr>
        <w:t>田璐</w:t>
      </w:r>
      <w:r>
        <w:rPr>
          <w:rFonts w:cs="Times New Roman"/>
          <w:sz w:val="19"/>
          <w:lang w:eastAsia="zh-CN"/>
        </w:rPr>
        <w:t xml:space="preserve">, </w:t>
      </w:r>
      <w:r>
        <w:rPr>
          <w:rFonts w:cs="Times New Roman"/>
          <w:sz w:val="19"/>
          <w:lang w:eastAsia="zh-CN"/>
        </w:rPr>
        <w:t>范杰</w:t>
      </w:r>
      <w:r>
        <w:rPr>
          <w:rFonts w:cs="Times New Roman"/>
          <w:sz w:val="19"/>
          <w:lang w:eastAsia="zh-CN"/>
        </w:rPr>
        <w:t xml:space="preserve">, </w:t>
      </w:r>
      <w:r>
        <w:rPr>
          <w:rFonts w:cs="Times New Roman"/>
          <w:sz w:val="19"/>
          <w:lang w:eastAsia="zh-CN"/>
        </w:rPr>
        <w:t>等</w:t>
      </w:r>
      <w:r>
        <w:rPr>
          <w:rFonts w:cs="Times New Roman"/>
          <w:sz w:val="19"/>
          <w:lang w:eastAsia="zh-CN"/>
        </w:rPr>
        <w:t xml:space="preserve">. </w:t>
      </w:r>
      <w:r>
        <w:rPr>
          <w:rFonts w:cs="Times New Roman"/>
          <w:sz w:val="19"/>
          <w:lang w:eastAsia="zh-CN"/>
        </w:rPr>
        <w:t>狭缝法测量诊断</w:t>
      </w:r>
      <w:r>
        <w:rPr>
          <w:rFonts w:cs="Times New Roman"/>
          <w:sz w:val="19"/>
          <w:lang w:eastAsia="zh-CN"/>
        </w:rPr>
        <w:t>X</w:t>
      </w:r>
      <w:r>
        <w:rPr>
          <w:rFonts w:cs="Times New Roman"/>
          <w:sz w:val="19"/>
          <w:lang w:eastAsia="zh-CN"/>
        </w:rPr>
        <w:t>光机焦点研究</w:t>
      </w:r>
      <w:r>
        <w:rPr>
          <w:rFonts w:cs="Times New Roman"/>
          <w:sz w:val="19"/>
          <w:lang w:eastAsia="zh-CN"/>
        </w:rPr>
        <w:t xml:space="preserve">[J]. </w:t>
      </w:r>
      <w:r>
        <w:rPr>
          <w:rFonts w:cs="Times New Roman"/>
          <w:sz w:val="19"/>
          <w:lang w:eastAsia="zh-CN"/>
        </w:rPr>
        <w:t>中国测试</w:t>
      </w:r>
      <w:r>
        <w:rPr>
          <w:rFonts w:cs="Times New Roman"/>
          <w:sz w:val="19"/>
          <w:lang w:eastAsia="zh-CN"/>
        </w:rPr>
        <w:t>, 2015, 41(11): 31-34. DOI: 10.11857/j.issn.1674-5124.2015.11.008.</w:t>
      </w:r>
    </w:p>
    <w:p w14:paraId="2ACBDC4D" w14:textId="77777777" w:rsidR="000B554E" w:rsidRDefault="00000000">
      <w:pPr>
        <w:spacing w:line="264" w:lineRule="auto"/>
        <w:ind w:left="420" w:hanging="420"/>
        <w:jc w:val="both"/>
      </w:pPr>
      <w:r>
        <w:rPr>
          <w:rFonts w:cs="Times New Roman"/>
          <w:sz w:val="19"/>
          <w:lang w:eastAsia="zh-CN"/>
        </w:rPr>
        <w:t xml:space="preserve">[6] </w:t>
      </w:r>
      <w:r>
        <w:rPr>
          <w:rFonts w:cs="Times New Roman"/>
          <w:sz w:val="19"/>
          <w:lang w:eastAsia="zh-CN"/>
        </w:rPr>
        <w:t>李伟</w:t>
      </w:r>
      <w:proofErr w:type="gramStart"/>
      <w:r>
        <w:rPr>
          <w:rFonts w:cs="Times New Roman"/>
          <w:sz w:val="19"/>
          <w:lang w:eastAsia="zh-CN"/>
        </w:rPr>
        <w:t>伟</w:t>
      </w:r>
      <w:proofErr w:type="gramEnd"/>
      <w:r>
        <w:rPr>
          <w:rFonts w:cs="Times New Roman"/>
          <w:sz w:val="19"/>
          <w:lang w:eastAsia="zh-CN"/>
        </w:rPr>
        <w:t xml:space="preserve">, </w:t>
      </w:r>
      <w:r>
        <w:rPr>
          <w:rFonts w:cs="Times New Roman"/>
          <w:sz w:val="19"/>
          <w:lang w:eastAsia="zh-CN"/>
        </w:rPr>
        <w:t>王立强</w:t>
      </w:r>
      <w:r>
        <w:rPr>
          <w:rFonts w:cs="Times New Roman"/>
          <w:sz w:val="19"/>
          <w:lang w:eastAsia="zh-CN"/>
        </w:rPr>
        <w:t xml:space="preserve">, </w:t>
      </w:r>
      <w:r>
        <w:rPr>
          <w:rFonts w:cs="Times New Roman"/>
          <w:sz w:val="19"/>
          <w:lang w:eastAsia="zh-CN"/>
        </w:rPr>
        <w:t>郑健</w:t>
      </w:r>
      <w:r>
        <w:rPr>
          <w:rFonts w:cs="Times New Roman"/>
          <w:sz w:val="19"/>
          <w:lang w:eastAsia="zh-CN"/>
        </w:rPr>
        <w:t xml:space="preserve">, </w:t>
      </w:r>
      <w:r>
        <w:rPr>
          <w:rFonts w:cs="Times New Roman"/>
          <w:sz w:val="19"/>
          <w:lang w:eastAsia="zh-CN"/>
        </w:rPr>
        <w:t>等</w:t>
      </w:r>
      <w:r>
        <w:rPr>
          <w:rFonts w:cs="Times New Roman"/>
          <w:sz w:val="19"/>
          <w:lang w:eastAsia="zh-CN"/>
        </w:rPr>
        <w:t xml:space="preserve">. </w:t>
      </w:r>
      <w:r>
        <w:rPr>
          <w:rFonts w:cs="Times New Roman"/>
          <w:sz w:val="19"/>
          <w:lang w:eastAsia="zh-CN"/>
        </w:rPr>
        <w:t>圆柱法测量</w:t>
      </w:r>
      <w:r>
        <w:rPr>
          <w:rFonts w:cs="Times New Roman"/>
          <w:sz w:val="19"/>
          <w:lang w:eastAsia="zh-CN"/>
        </w:rPr>
        <w:t>X</w:t>
      </w:r>
      <w:r>
        <w:rPr>
          <w:rFonts w:cs="Times New Roman"/>
          <w:sz w:val="19"/>
          <w:lang w:eastAsia="zh-CN"/>
        </w:rPr>
        <w:t>射线管焦点尺寸的研究</w:t>
      </w:r>
      <w:r>
        <w:rPr>
          <w:rFonts w:cs="Times New Roman"/>
          <w:sz w:val="19"/>
          <w:lang w:eastAsia="zh-CN"/>
        </w:rPr>
        <w:t xml:space="preserve">[J/OL]. </w:t>
      </w:r>
      <w:r>
        <w:rPr>
          <w:rFonts w:cs="Times New Roman"/>
          <w:sz w:val="19"/>
          <w:lang w:eastAsia="zh-CN"/>
        </w:rPr>
        <w:t>原子能科学技术</w:t>
      </w:r>
      <w:r>
        <w:rPr>
          <w:rFonts w:cs="Times New Roman"/>
          <w:sz w:val="19"/>
          <w:lang w:eastAsia="zh-CN"/>
        </w:rPr>
        <w:t xml:space="preserve">, 2022. </w:t>
      </w:r>
      <w:r>
        <w:rPr>
          <w:rFonts w:cs="Times New Roman"/>
          <w:sz w:val="19"/>
        </w:rPr>
        <w:t>DOI: 10.7538/yzk.2021.youxian.0606.</w:t>
      </w:r>
    </w:p>
    <w:p w14:paraId="69CF48EB" w14:textId="77777777" w:rsidR="000B554E" w:rsidRDefault="00000000">
      <w:pPr>
        <w:spacing w:line="264" w:lineRule="auto"/>
        <w:ind w:left="420" w:hanging="420"/>
        <w:jc w:val="both"/>
      </w:pPr>
      <w:r>
        <w:rPr>
          <w:rFonts w:cs="Times New Roman"/>
          <w:sz w:val="19"/>
        </w:rPr>
        <w:t>[7] DI DOMENICO G, CARDARELLI P, CONTILLO A, et al. X-ray focal spot reconstruction by circular penumbra analysis—Application to digital radiography systems[J]. Medical Physics, 2016, 43(1): 294-302. DOI: 10.1118/1.4938414.</w:t>
      </w:r>
    </w:p>
    <w:p w14:paraId="502D3C22" w14:textId="77777777" w:rsidR="000B554E" w:rsidRDefault="00000000">
      <w:pPr>
        <w:spacing w:line="264" w:lineRule="auto"/>
        <w:ind w:left="420" w:hanging="420"/>
        <w:jc w:val="both"/>
      </w:pPr>
      <w:r>
        <w:rPr>
          <w:rFonts w:cs="Times New Roman"/>
          <w:sz w:val="19"/>
        </w:rPr>
        <w:t>[8] BIRCHER B A, MELI F, KÜNG A, et al. Traceable X-ray focal spot reconstruction by circular edge analysis: from sub-microfocus to mesofocus[J]. Measurement Science and Technology, 2022, 33: 074005. DOI: 10.1088/1361-6501/ac6225.</w:t>
      </w:r>
    </w:p>
    <w:p w14:paraId="7268B93E" w14:textId="77777777" w:rsidR="000B554E" w:rsidRDefault="00000000">
      <w:pPr>
        <w:spacing w:line="264" w:lineRule="auto"/>
        <w:ind w:left="420" w:hanging="420"/>
        <w:jc w:val="both"/>
      </w:pPr>
      <w:r>
        <w:rPr>
          <w:rFonts w:cs="Times New Roman"/>
          <w:sz w:val="19"/>
        </w:rPr>
        <w:t>[9] PROBST G M, HOU Q, BOECKMANS B, et al. Characterization and stability monitoring of X-ray focal spots[J]. CIRP Annals, 2020, 69(1): 453-456. DOI: 10.1016/j.cirp.2020.04.072.</w:t>
      </w:r>
    </w:p>
    <w:p w14:paraId="36977802" w14:textId="77777777" w:rsidR="000B554E" w:rsidRDefault="00000000">
      <w:pPr>
        <w:spacing w:line="264" w:lineRule="auto"/>
        <w:ind w:left="420" w:hanging="420"/>
        <w:jc w:val="both"/>
      </w:pPr>
      <w:r>
        <w:rPr>
          <w:rFonts w:cs="Times New Roman"/>
          <w:sz w:val="19"/>
        </w:rPr>
        <w:t>[10] JAIN A, PANSE A, BEDNAREK D R, et al. Focal spot measurements using a digital flat panel detector[C]//Medical Imaging 2014: Physics of Medical Imaging. SPIE, 2014, 9033: 90335F. DOI: 10.1117/12.2043057.</w:t>
      </w:r>
    </w:p>
    <w:p w14:paraId="6BE3C18F" w14:textId="77777777" w:rsidR="000B554E" w:rsidRDefault="00000000">
      <w:pPr>
        <w:spacing w:line="264" w:lineRule="auto"/>
        <w:ind w:left="420" w:hanging="420"/>
        <w:jc w:val="both"/>
      </w:pPr>
      <w:r>
        <w:rPr>
          <w:rFonts w:cs="Times New Roman"/>
          <w:sz w:val="19"/>
        </w:rPr>
        <w:t>[11] RAO U V G, BATES L M. The modulation transfer functions of X-ray focal spots[J]. Physics in Medicine and Biology, 1969, 14(1): 93-106.</w:t>
      </w:r>
    </w:p>
    <w:p w14:paraId="1B858D2D" w14:textId="77777777" w:rsidR="000B554E" w:rsidRDefault="00000000">
      <w:pPr>
        <w:spacing w:line="264" w:lineRule="auto"/>
        <w:ind w:left="420" w:hanging="420"/>
        <w:jc w:val="both"/>
      </w:pPr>
      <w:r>
        <w:rPr>
          <w:rFonts w:cs="Times New Roman"/>
          <w:sz w:val="19"/>
        </w:rPr>
        <w:t>[12] ZEMAN G H, RAO G U V, DOYLE R J. A circular test pattern for evaluating X-ray tube focal spots[J]. American Journal of Roentgenology, 1976, 126: 1239-1245.</w:t>
      </w:r>
    </w:p>
    <w:p w14:paraId="6D85C57F" w14:textId="77777777" w:rsidR="000B554E" w:rsidRDefault="00000000">
      <w:pPr>
        <w:spacing w:line="264" w:lineRule="auto"/>
        <w:ind w:left="420" w:hanging="420"/>
        <w:jc w:val="both"/>
      </w:pPr>
      <w:r>
        <w:rPr>
          <w:rFonts w:cs="Times New Roman"/>
          <w:sz w:val="19"/>
        </w:rPr>
        <w:t>[13] ZANINI F, CARMIGNATO S. Two-spheres method for evaluating the metrological structural resolution in dimensional computed tomography[J]. Measurement Science and Technology, 2017, 28: 114002. DOI: 10.1088/1361-6501/aa85b7.</w:t>
      </w:r>
    </w:p>
    <w:sectPr w:rsidR="000B554E" w:rsidSect="00034616">
      <w:footerReference w:type="default" r:id="rId9"/>
      <w:pgSz w:w="11906" w:h="16838"/>
      <w:pgMar w:top="1417" w:right="1417" w:bottom="1417" w:left="1587"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12ADB" w14:textId="77777777" w:rsidR="00B3442C" w:rsidRDefault="00B3442C">
      <w:pPr>
        <w:spacing w:line="240" w:lineRule="auto"/>
      </w:pPr>
      <w:r>
        <w:separator/>
      </w:r>
    </w:p>
  </w:endnote>
  <w:endnote w:type="continuationSeparator" w:id="0">
    <w:p w14:paraId="64E02A6A" w14:textId="77777777" w:rsidR="00B3442C" w:rsidRDefault="00B344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37245" w14:textId="77777777" w:rsidR="000B554E" w:rsidRDefault="00000000">
    <w:pPr>
      <w:pStyle w:val="a7"/>
      <w:jc w:val="center"/>
    </w:pPr>
    <w:r>
      <w:rPr>
        <w:rFonts w:cs="Times New Roman"/>
        <w:sz w:val="18"/>
      </w:rPr>
      <w:t xml:space="preserve">— </w:t>
    </w:r>
    <w:r>
      <w:fldChar w:fldCharType="begin"/>
    </w:r>
    <w:r>
      <w:instrText>PAGE</w:instrText>
    </w:r>
    <w:r>
      <w:fldChar w:fldCharType="separate"/>
    </w:r>
    <w:r w:rsidR="00144613">
      <w:rPr>
        <w:noProof/>
      </w:rPr>
      <w:t>1</w:t>
    </w:r>
    <w:r>
      <w:fldChar w:fldCharType="end"/>
    </w:r>
    <w:r>
      <w:rPr>
        <w:rFonts w:cs="Times New Roman"/>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56873" w14:textId="77777777" w:rsidR="00B3442C" w:rsidRDefault="00B3442C">
      <w:pPr>
        <w:spacing w:line="240" w:lineRule="auto"/>
      </w:pPr>
      <w:r>
        <w:separator/>
      </w:r>
    </w:p>
  </w:footnote>
  <w:footnote w:type="continuationSeparator" w:id="0">
    <w:p w14:paraId="2B8E7F7B" w14:textId="77777777" w:rsidR="00B3442C" w:rsidRDefault="00B3442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482625074">
    <w:abstractNumId w:val="8"/>
  </w:num>
  <w:num w:numId="2" w16cid:durableId="2015766258">
    <w:abstractNumId w:val="6"/>
  </w:num>
  <w:num w:numId="3" w16cid:durableId="1162893713">
    <w:abstractNumId w:val="5"/>
  </w:num>
  <w:num w:numId="4" w16cid:durableId="381291481">
    <w:abstractNumId w:val="4"/>
  </w:num>
  <w:num w:numId="5" w16cid:durableId="1810971210">
    <w:abstractNumId w:val="7"/>
  </w:num>
  <w:num w:numId="6" w16cid:durableId="340354177">
    <w:abstractNumId w:val="3"/>
  </w:num>
  <w:num w:numId="7" w16cid:durableId="1309171206">
    <w:abstractNumId w:val="2"/>
  </w:num>
  <w:num w:numId="8" w16cid:durableId="347146392">
    <w:abstractNumId w:val="1"/>
  </w:num>
  <w:num w:numId="9" w16cid:durableId="253248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554E"/>
    <w:rsid w:val="00144613"/>
    <w:rsid w:val="0015074B"/>
    <w:rsid w:val="0029639D"/>
    <w:rsid w:val="00326F90"/>
    <w:rsid w:val="005E45FB"/>
    <w:rsid w:val="006D0A1A"/>
    <w:rsid w:val="00AA1D8D"/>
    <w:rsid w:val="00B3442C"/>
    <w:rsid w:val="00B47730"/>
    <w:rsid w:val="00C7650C"/>
    <w:rsid w:val="00CB0664"/>
    <w:rsid w:val="00ED3C9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34D008"/>
  <w14:defaultImageDpi w14:val="300"/>
  <w15:docId w15:val="{F88A1B2A-3974-4B8C-B4AD-E3A4CE797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line="300" w:lineRule="auto"/>
    </w:pPr>
    <w:rPr>
      <w:rFonts w:ascii="Times New Roman" w:eastAsia="宋体" w:hAnsi="Times New Roman"/>
      <w:sz w:val="21"/>
    </w:rPr>
  </w:style>
  <w:style w:type="paragraph" w:styleId="1">
    <w:name w:val="heading 1"/>
    <w:basedOn w:val="a1"/>
    <w:next w:val="a1"/>
    <w:link w:val="10"/>
    <w:uiPriority w:val="9"/>
    <w:qFormat/>
    <w:rsid w:val="00FC693F"/>
    <w:pPr>
      <w:keepNext/>
      <w:keepLines/>
      <w:spacing w:before="360" w:after="80"/>
      <w:outlineLvl w:val="0"/>
    </w:pPr>
    <w:rPr>
      <w:rFonts w:asciiTheme="majorHAnsi" w:eastAsiaTheme="majorEastAsia" w:hAnsiTheme="majorHAnsi" w:cstheme="majorBidi"/>
      <w:b/>
      <w:bCs/>
      <w:color w:val="000000"/>
      <w:sz w:val="28"/>
      <w:szCs w:val="28"/>
    </w:rPr>
  </w:style>
  <w:style w:type="paragraph" w:styleId="21">
    <w:name w:val="heading 2"/>
    <w:basedOn w:val="a1"/>
    <w:next w:val="a1"/>
    <w:link w:val="22"/>
    <w:uiPriority w:val="9"/>
    <w:unhideWhenUsed/>
    <w:qFormat/>
    <w:rsid w:val="00FC693F"/>
    <w:pPr>
      <w:keepNext/>
      <w:keepLines/>
      <w:spacing w:before="200" w:after="60"/>
      <w:outlineLvl w:val="1"/>
    </w:pPr>
    <w:rPr>
      <w:rFonts w:asciiTheme="majorHAnsi" w:eastAsiaTheme="majorEastAsia" w:hAnsiTheme="majorHAnsi" w:cstheme="majorBidi"/>
      <w:b/>
      <w:bCs/>
      <w:color w:val="000000"/>
      <w:sz w:val="24"/>
      <w:szCs w:val="26"/>
    </w:rPr>
  </w:style>
  <w:style w:type="paragraph" w:styleId="31">
    <w:name w:val="heading 3"/>
    <w:basedOn w:val="a1"/>
    <w:next w:val="a1"/>
    <w:link w:val="32"/>
    <w:uiPriority w:val="9"/>
    <w:unhideWhenUsed/>
    <w:qFormat/>
    <w:rsid w:val="00FC693F"/>
    <w:pPr>
      <w:keepNext/>
      <w:keepLines/>
      <w:spacing w:before="140" w:after="40"/>
      <w:outlineLvl w:val="2"/>
    </w:pPr>
    <w:rPr>
      <w:rFonts w:asciiTheme="majorHAnsi" w:eastAsiaTheme="majorEastAsia" w:hAnsiTheme="majorHAnsi" w:cstheme="majorBidi"/>
      <w:b/>
      <w:bCs/>
      <w:color w:val="000000"/>
      <w:sz w:val="22"/>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1090</Words>
  <Characters>6213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7289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基于双圆柱连续厚度调制的X射线管焦点检测方法</dc:title>
  <dc:subject>轴向无限双圆柱模型、焦点方向强度分布反演与公式参数释义</dc:subject>
  <dc:creator/>
  <cp:keywords>X射线管；焦点检测；双圆柱；焦点强度分布；线扩展函数；正则化反演</cp:keywords>
  <dc:description>generated by python-docx</dc:description>
  <cp:lastModifiedBy/>
  <cp:revision>3</cp:revision>
  <dcterms:created xsi:type="dcterms:W3CDTF">2013-12-23T23:15:00Z</dcterms:created>
  <dcterms:modified xsi:type="dcterms:W3CDTF">2026-07-26T15:12:00Z</dcterms:modified>
  <cp:category/>
</cp:coreProperties>
</file>